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F74" w:rsidRDefault="00101F74">
      <w:pPr>
        <w:widowControl w:val="0"/>
        <w:autoSpaceDE w:val="0"/>
        <w:autoSpaceDN w:val="0"/>
        <w:adjustRightInd w:val="0"/>
        <w:rPr>
          <w:rFonts w:ascii="Times New Roman" w:hAnsi="Times New Roman"/>
        </w:rPr>
      </w:pPr>
      <w:bookmarkStart w:id="0" w:name="_GoBack"/>
      <w:bookmarkEnd w:id="0"/>
    </w:p>
    <w:p w:rsidR="00101F74" w:rsidRDefault="00101F74">
      <w:pPr>
        <w:widowControl w:val="0"/>
        <w:autoSpaceDE w:val="0"/>
        <w:autoSpaceDN w:val="0"/>
        <w:adjustRightInd w:val="0"/>
        <w:rPr>
          <w:rFonts w:ascii="Arial" w:hAnsi="Arial" w:cs="Arial"/>
        </w:rPr>
        <w:sectPr w:rsidR="00101F74">
          <w:headerReference w:type="default" r:id="rId6"/>
          <w:footerReference w:type="default" r:id="rId7"/>
          <w:pgSz w:w="12240" w:h="15840"/>
          <w:pgMar w:top="1080" w:right="1080" w:bottom="1080" w:left="1080" w:header="720" w:footer="720" w:gutter="0"/>
          <w:cols w:space="720"/>
          <w:noEndnote/>
        </w:sectPr>
      </w:pPr>
    </w:p>
    <w:p w:rsidR="00101F74" w:rsidRDefault="00101F74">
      <w:pPr>
        <w:widowControl w:val="0"/>
        <w:autoSpaceDE w:val="0"/>
        <w:autoSpaceDN w:val="0"/>
        <w:adjustRightInd w:val="0"/>
        <w:jc w:val="both"/>
        <w:rPr>
          <w:rFonts w:ascii="Times New Roman" w:hAnsi="Times New Roman"/>
          <w:color w:val="000000"/>
          <w:sz w:val="20"/>
          <w:szCs w:val="20"/>
        </w:rPr>
      </w:pPr>
      <w:bookmarkStart w:id="1" w:name="co_document_1"/>
      <w:bookmarkStart w:id="2" w:name="I85dd74d0073e11e890b3a4cf54beb9bd_Target"/>
      <w:bookmarkEnd w:id="1"/>
      <w:bookmarkEnd w:id="2"/>
    </w:p>
    <w:p w:rsidR="00101F74" w:rsidRDefault="00E50960">
      <w:pPr>
        <w:widowControl w:val="0"/>
        <w:autoSpaceDE w:val="0"/>
        <w:autoSpaceDN w:val="0"/>
        <w:adjustRightInd w:val="0"/>
        <w:spacing w:before="100"/>
        <w:jc w:val="center"/>
        <w:rPr>
          <w:rFonts w:ascii="georgia" w:hAnsi="georgia" w:cs="georgia"/>
          <w:color w:val="000000"/>
          <w:sz w:val="20"/>
          <w:szCs w:val="20"/>
        </w:rPr>
      </w:pPr>
      <w:r>
        <w:rPr>
          <w:rFonts w:ascii="georgia" w:hAnsi="georgia" w:cs="georgia"/>
          <w:color w:val="000000"/>
          <w:sz w:val="20"/>
          <w:szCs w:val="20"/>
        </w:rPr>
        <w:t>289 F.Supp.3d 103</w:t>
      </w:r>
    </w:p>
    <w:p w:rsidR="00101F74" w:rsidRDefault="00E50960">
      <w:pPr>
        <w:widowControl w:val="0"/>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United States District Court, District of Columbia.</w:t>
      </w:r>
    </w:p>
    <w:p w:rsidR="00101F74" w:rsidRDefault="00E50960">
      <w:pPr>
        <w:widowControl w:val="0"/>
        <w:autoSpaceDE w:val="0"/>
        <w:autoSpaceDN w:val="0"/>
        <w:adjustRightInd w:val="0"/>
        <w:spacing w:before="200"/>
        <w:ind w:left="100" w:right="100"/>
        <w:jc w:val="center"/>
        <w:rPr>
          <w:rFonts w:ascii="georgia" w:hAnsi="georgia" w:cs="georgia"/>
          <w:color w:val="252525"/>
          <w:sz w:val="20"/>
          <w:szCs w:val="20"/>
        </w:rPr>
      </w:pPr>
      <w:r>
        <w:rPr>
          <w:rFonts w:ascii="georgia" w:hAnsi="georgia" w:cs="georgia"/>
          <w:color w:val="252525"/>
          <w:sz w:val="20"/>
          <w:szCs w:val="20"/>
        </w:rPr>
        <w:t>BUFFALO FIELD CAMPAIGN et al., Plaintiffs,</w:t>
      </w:r>
    </w:p>
    <w:p w:rsidR="00101F74" w:rsidRDefault="00E50960">
      <w:pPr>
        <w:widowControl w:val="0"/>
        <w:autoSpaceDE w:val="0"/>
        <w:autoSpaceDN w:val="0"/>
        <w:adjustRightInd w:val="0"/>
        <w:ind w:left="100" w:right="100"/>
        <w:jc w:val="center"/>
        <w:rPr>
          <w:rFonts w:ascii="georgia" w:hAnsi="georgia" w:cs="georgia"/>
          <w:color w:val="252525"/>
          <w:sz w:val="20"/>
          <w:szCs w:val="20"/>
        </w:rPr>
      </w:pPr>
      <w:r>
        <w:rPr>
          <w:rFonts w:ascii="georgia" w:hAnsi="georgia" w:cs="georgia"/>
          <w:color w:val="252525"/>
          <w:sz w:val="20"/>
          <w:szCs w:val="20"/>
        </w:rPr>
        <w:t>v.</w:t>
      </w:r>
    </w:p>
    <w:p w:rsidR="00101F74" w:rsidRDefault="00EE0737">
      <w:pPr>
        <w:widowControl w:val="0"/>
        <w:autoSpaceDE w:val="0"/>
        <w:autoSpaceDN w:val="0"/>
        <w:adjustRightInd w:val="0"/>
        <w:spacing w:after="200"/>
        <w:ind w:left="100" w:right="100"/>
        <w:jc w:val="center"/>
        <w:rPr>
          <w:rFonts w:ascii="georgia" w:hAnsi="georgia" w:cs="georgia"/>
          <w:color w:val="252525"/>
          <w:sz w:val="20"/>
          <w:szCs w:val="20"/>
        </w:rPr>
      </w:pPr>
      <w:hyperlink r:id="rId8" w:history="1">
        <w:r w:rsidR="00E50960">
          <w:rPr>
            <w:rFonts w:ascii="georgia" w:hAnsi="georgia" w:cs="georgia"/>
            <w:color w:val="0000FF"/>
            <w:sz w:val="20"/>
            <w:szCs w:val="20"/>
          </w:rPr>
          <w:t>Ryan ZINKE</w:t>
        </w:r>
      </w:hyperlink>
      <w:r w:rsidR="00E50960">
        <w:rPr>
          <w:rFonts w:ascii="georgia" w:hAnsi="georgia" w:cs="georgia"/>
          <w:color w:val="252525"/>
          <w:sz w:val="20"/>
          <w:szCs w:val="20"/>
        </w:rPr>
        <w:t xml:space="preserve"> et al., Defendants.</w:t>
      </w:r>
    </w:p>
    <w:p w:rsidR="00101F74" w:rsidRDefault="00E50960">
      <w:pPr>
        <w:widowControl w:val="0"/>
        <w:autoSpaceDE w:val="0"/>
        <w:autoSpaceDN w:val="0"/>
        <w:adjustRightInd w:val="0"/>
        <w:ind w:left="200"/>
        <w:jc w:val="center"/>
        <w:rPr>
          <w:rFonts w:ascii="georgia" w:hAnsi="georgia" w:cs="georgia"/>
          <w:color w:val="000000"/>
          <w:sz w:val="20"/>
          <w:szCs w:val="20"/>
        </w:rPr>
      </w:pPr>
      <w:r>
        <w:rPr>
          <w:rFonts w:ascii="georgia" w:hAnsi="georgia" w:cs="georgia"/>
          <w:color w:val="000000"/>
          <w:sz w:val="20"/>
          <w:szCs w:val="20"/>
        </w:rPr>
        <w:t>Case No. 16–cv–1909 (CRC)</w:t>
      </w:r>
    </w:p>
    <w:p w:rsidR="00101F74" w:rsidRDefault="00E50960">
      <w:pPr>
        <w:widowControl w:val="0"/>
        <w:autoSpaceDE w:val="0"/>
        <w:autoSpaceDN w:val="0"/>
        <w:adjustRightInd w:val="0"/>
        <w:ind w:left="200"/>
        <w:jc w:val="center"/>
        <w:rPr>
          <w:rFonts w:ascii="georgia" w:hAnsi="georgia" w:cs="georgia"/>
          <w:color w:val="000000"/>
          <w:sz w:val="20"/>
          <w:szCs w:val="20"/>
        </w:rPr>
      </w:pPr>
      <w:r>
        <w:rPr>
          <w:rFonts w:ascii="georgia" w:hAnsi="georgia" w:cs="georgia"/>
          <w:color w:val="000000"/>
          <w:sz w:val="20"/>
          <w:szCs w:val="20"/>
        </w:rPr>
        <w:t>|</w:t>
      </w:r>
    </w:p>
    <w:p w:rsidR="00101F74" w:rsidRDefault="00E50960">
      <w:pPr>
        <w:widowControl w:val="0"/>
        <w:autoSpaceDE w:val="0"/>
        <w:autoSpaceDN w:val="0"/>
        <w:adjustRightInd w:val="0"/>
        <w:spacing w:after="200"/>
        <w:ind w:left="200"/>
        <w:jc w:val="center"/>
        <w:rPr>
          <w:rFonts w:ascii="georgia" w:hAnsi="georgia" w:cs="georgia"/>
          <w:color w:val="000000"/>
          <w:sz w:val="20"/>
          <w:szCs w:val="20"/>
        </w:rPr>
      </w:pPr>
      <w:r>
        <w:rPr>
          <w:rFonts w:ascii="georgia" w:hAnsi="georgia" w:cs="georgia"/>
          <w:color w:val="000000"/>
          <w:sz w:val="20"/>
          <w:szCs w:val="20"/>
        </w:rPr>
        <w:t>Signed 01/31/2018</w:t>
      </w:r>
    </w:p>
    <w:p w:rsidR="00101F74" w:rsidRDefault="00E50960">
      <w:pPr>
        <w:widowControl w:val="0"/>
        <w:autoSpaceDE w:val="0"/>
        <w:autoSpaceDN w:val="0"/>
        <w:adjustRightInd w:val="0"/>
        <w:spacing w:before="400"/>
        <w:jc w:val="both"/>
        <w:rPr>
          <w:rFonts w:ascii="Times New Roman" w:hAnsi="Times New Roman"/>
          <w:b/>
          <w:bCs/>
          <w:color w:val="212121"/>
          <w:sz w:val="20"/>
          <w:szCs w:val="20"/>
        </w:rPr>
      </w:pPr>
      <w:bookmarkStart w:id="3" w:name="co_synopsis_1"/>
      <w:bookmarkEnd w:id="3"/>
      <w:r>
        <w:rPr>
          <w:rFonts w:ascii="Times New Roman" w:hAnsi="Times New Roman"/>
          <w:b/>
          <w:bCs/>
          <w:color w:val="212121"/>
          <w:sz w:val="20"/>
          <w:szCs w:val="20"/>
        </w:rPr>
        <w:t>Synopsis</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b/>
          <w:bCs/>
          <w:color w:val="000000"/>
          <w:sz w:val="20"/>
          <w:szCs w:val="20"/>
        </w:rPr>
        <w:t>Background:</w:t>
      </w:r>
      <w:r>
        <w:rPr>
          <w:rFonts w:ascii="Times New Roman" w:hAnsi="Times New Roman"/>
          <w:color w:val="000000"/>
          <w:sz w:val="20"/>
          <w:szCs w:val="20"/>
        </w:rPr>
        <w:t xml:space="preserve"> Environmental groups brought suit under Administrative Procedure Act (APA) alleging Fish and Wildlife Service’s (FWS) 90-day determination that groups’ petition to add bison to federal endangered species list failed to present sufficient scientific evidence that listing bison may be warranted was arbitrary and capricious.</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spacing w:before="400"/>
        <w:jc w:val="both"/>
        <w:rPr>
          <w:rFonts w:ascii="Times New Roman" w:hAnsi="Times New Roman"/>
          <w:color w:val="000000"/>
          <w:sz w:val="20"/>
          <w:szCs w:val="20"/>
        </w:rPr>
      </w:pPr>
      <w:r>
        <w:rPr>
          <w:rFonts w:ascii="Times New Roman" w:hAnsi="Times New Roman"/>
          <w:b/>
          <w:bCs/>
          <w:color w:val="000000"/>
          <w:sz w:val="20"/>
          <w:szCs w:val="20"/>
        </w:rPr>
        <w:t>Holdings:</w:t>
      </w:r>
      <w:r>
        <w:rPr>
          <w:rFonts w:ascii="Times New Roman" w:hAnsi="Times New Roman"/>
          <w:color w:val="000000"/>
          <w:sz w:val="20"/>
          <w:szCs w:val="20"/>
        </w:rPr>
        <w:t xml:space="preserve"> The District Court, </w:t>
      </w:r>
      <w:hyperlink r:id="rId9" w:history="1">
        <w:r>
          <w:rPr>
            <w:rFonts w:ascii="Times New Roman" w:hAnsi="Times New Roman"/>
            <w:color w:val="0000FF"/>
            <w:sz w:val="20"/>
            <w:szCs w:val="20"/>
          </w:rPr>
          <w:t>Christopher R. Cooper</w:t>
        </w:r>
      </w:hyperlink>
      <w:r>
        <w:rPr>
          <w:rFonts w:ascii="Times New Roman" w:hAnsi="Times New Roman"/>
          <w:color w:val="000000"/>
          <w:sz w:val="20"/>
          <w:szCs w:val="20"/>
        </w:rPr>
        <w:t>, J., held that:</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82043717331_1" w:history="1">
        <w:r w:rsidR="00E50960">
          <w:rPr>
            <w:rFonts w:ascii="Times New Roman" w:hAnsi="Times New Roman"/>
            <w:color w:val="0000FF"/>
            <w:sz w:val="20"/>
            <w:szCs w:val="20"/>
            <w:vertAlign w:val="superscript"/>
          </w:rPr>
          <w:t>[1]</w:t>
        </w:r>
      </w:hyperlink>
      <w:r w:rsidR="00E50960">
        <w:rPr>
          <w:rFonts w:ascii="Times New Roman" w:hAnsi="Times New Roman"/>
          <w:color w:val="000000"/>
          <w:sz w:val="20"/>
          <w:szCs w:val="20"/>
        </w:rPr>
        <w:t xml:space="preserve"> FWS applied an improperly heightened standard in making 90-day determination, and</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132043717331_1" w:history="1">
        <w:r w:rsidR="00E50960">
          <w:rPr>
            <w:rFonts w:ascii="Times New Roman" w:hAnsi="Times New Roman"/>
            <w:color w:val="0000FF"/>
            <w:sz w:val="20"/>
            <w:szCs w:val="20"/>
            <w:vertAlign w:val="superscript"/>
          </w:rPr>
          <w:t>[2]</w:t>
        </w:r>
      </w:hyperlink>
      <w:r w:rsidR="00E50960">
        <w:rPr>
          <w:rFonts w:ascii="Times New Roman" w:hAnsi="Times New Roman"/>
          <w:color w:val="000000"/>
          <w:sz w:val="20"/>
          <w:szCs w:val="20"/>
        </w:rPr>
        <w:t xml:space="preserve"> remand, rather than 12-month review, was proper remedy.</w:t>
      </w:r>
    </w:p>
    <w:p w:rsidR="00101F74" w:rsidRDefault="00E50960">
      <w:pPr>
        <w:widowControl w:val="0"/>
        <w:autoSpaceDE w:val="0"/>
        <w:autoSpaceDN w:val="0"/>
        <w:adjustRightInd w:val="0"/>
        <w:spacing w:after="20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Motion granted and remanded.</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spacing w:before="200" w:after="200"/>
        <w:jc w:val="both"/>
        <w:rPr>
          <w:rFonts w:ascii="Times New Roman" w:hAnsi="Times New Roman"/>
          <w:b/>
          <w:bCs/>
          <w:color w:val="212121"/>
          <w:sz w:val="20"/>
          <w:szCs w:val="20"/>
        </w:rPr>
      </w:pPr>
      <w:bookmarkStart w:id="4" w:name="co_attorneysAndLawFirms_1"/>
      <w:bookmarkEnd w:id="4"/>
      <w:r>
        <w:rPr>
          <w:rFonts w:ascii="Times New Roman" w:hAnsi="Times New Roman"/>
          <w:b/>
          <w:bCs/>
          <w:color w:val="212121"/>
          <w:sz w:val="20"/>
          <w:szCs w:val="20"/>
        </w:rPr>
        <w:t>Attorneys and Law Firms</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Michael Ray Harris, Friends Of Animals, Centennial, CO, Paul David Ruprecht, Reno, NV, for Plaintiff.</w:t>
      </w:r>
    </w:p>
    <w:p w:rsidR="00101F74" w:rsidRDefault="00E50960">
      <w:pPr>
        <w:widowControl w:val="0"/>
        <w:autoSpaceDE w:val="0"/>
        <w:autoSpaceDN w:val="0"/>
        <w:adjustRightInd w:val="0"/>
        <w:spacing w:before="200"/>
        <w:jc w:val="both"/>
        <w:rPr>
          <w:rFonts w:ascii="Times New Roman" w:hAnsi="Times New Roman"/>
          <w:color w:val="000000"/>
          <w:sz w:val="20"/>
          <w:szCs w:val="20"/>
        </w:rPr>
      </w:pPr>
      <w:r>
        <w:rPr>
          <w:rFonts w:ascii="Times New Roman" w:hAnsi="Times New Roman"/>
          <w:color w:val="000000"/>
          <w:sz w:val="20"/>
          <w:szCs w:val="20"/>
        </w:rPr>
        <w:t>Frederick Harter Turner, U.S. Department Of Justice, Washington, DC, for Defendant.</w:t>
      </w:r>
    </w:p>
    <w:p w:rsidR="00101F74" w:rsidRDefault="00101F74">
      <w:pPr>
        <w:widowControl w:val="0"/>
        <w:autoSpaceDE w:val="0"/>
        <w:autoSpaceDN w:val="0"/>
        <w:adjustRightInd w:val="0"/>
        <w:jc w:val="both"/>
        <w:rPr>
          <w:rFonts w:ascii="Times New Roman" w:hAnsi="Times New Roman"/>
          <w:color w:val="000000"/>
          <w:sz w:val="20"/>
          <w:szCs w:val="20"/>
        </w:rPr>
      </w:pPr>
      <w:bookmarkStart w:id="5" w:name="co_anchor_Ic6d4bad0497d11e8bc75e15fbdd7c"/>
      <w:bookmarkEnd w:id="5"/>
    </w:p>
    <w:p w:rsidR="00101F74" w:rsidRDefault="00E50960">
      <w:pPr>
        <w:widowControl w:val="0"/>
        <w:autoSpaceDE w:val="0"/>
        <w:autoSpaceDN w:val="0"/>
        <w:adjustRightInd w:val="0"/>
        <w:spacing w:before="400" w:after="200"/>
        <w:jc w:val="center"/>
        <w:rPr>
          <w:rFonts w:ascii="Times New Roman" w:hAnsi="Times New Roman"/>
          <w:b/>
          <w:bCs/>
          <w:color w:val="000000"/>
          <w:sz w:val="20"/>
          <w:szCs w:val="20"/>
          <w:u w:val="single"/>
        </w:rPr>
      </w:pPr>
      <w:r>
        <w:rPr>
          <w:rFonts w:ascii="Times New Roman" w:hAnsi="Times New Roman"/>
          <w:b/>
          <w:bCs/>
          <w:color w:val="000000"/>
          <w:sz w:val="20"/>
          <w:szCs w:val="20"/>
          <w:u w:val="single"/>
        </w:rPr>
        <w:t>MEMORANDUM OPINION</w:t>
      </w:r>
    </w:p>
    <w:p w:rsidR="00101F74" w:rsidRDefault="00EE0737">
      <w:pPr>
        <w:widowControl w:val="0"/>
        <w:autoSpaceDE w:val="0"/>
        <w:autoSpaceDN w:val="0"/>
        <w:adjustRightInd w:val="0"/>
        <w:spacing w:before="200" w:after="200"/>
        <w:jc w:val="both"/>
        <w:rPr>
          <w:rFonts w:ascii="Times New Roman" w:hAnsi="Times New Roman"/>
          <w:color w:val="000000"/>
          <w:sz w:val="20"/>
          <w:szCs w:val="20"/>
        </w:rPr>
      </w:pPr>
      <w:hyperlink r:id="rId10" w:history="1">
        <w:r w:rsidR="00E50960">
          <w:rPr>
            <w:rFonts w:ascii="Times New Roman" w:hAnsi="Times New Roman"/>
            <w:color w:val="0000FF"/>
            <w:sz w:val="20"/>
            <w:szCs w:val="20"/>
          </w:rPr>
          <w:t>CHRISTOPHER R. COOPER</w:t>
        </w:r>
      </w:hyperlink>
      <w:r w:rsidR="00E50960">
        <w:rPr>
          <w:rFonts w:ascii="Times New Roman" w:hAnsi="Times New Roman"/>
          <w:color w:val="000000"/>
          <w:sz w:val="20"/>
          <w:szCs w:val="20"/>
        </w:rPr>
        <w:t>, United States District Judge</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While millions of bison once roamed the entire North </w:t>
      </w:r>
      <w:r>
        <w:rPr>
          <w:rFonts w:ascii="Times New Roman" w:hAnsi="Times New Roman"/>
          <w:color w:val="000000"/>
          <w:sz w:val="20"/>
          <w:szCs w:val="20"/>
        </w:rPr>
        <w:t>American plains, most of the few thousand left in the wild today live in or near Yellowstone National Park. Hoping to protect these remaining bison, Buffalo Field Campaign and other environmental groups petitioned the Fish and Wildlife Service to add the Yellowstone bison population to the federal endangered species list. After the Service made a threshold “90–day” determination that their petition failed to present sufficient scientific evidence that listing the bison may be warranted, they brought suit under the Administrative Procedure Act, alleging that the Service’s determination was arbitrary and capricious. Because the Court agrees that the Service applied an improper standard when evaluating Buffalo Field’s petition, it will grant Buffalo Field’s motion for summary judgment, deny the Service’s cross-motion, and remand the case for the agency to conduct a new 90–day finding using the proper standard.</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101F74">
      <w:pPr>
        <w:widowControl w:val="0"/>
        <w:autoSpaceDE w:val="0"/>
        <w:autoSpaceDN w:val="0"/>
        <w:adjustRightInd w:val="0"/>
        <w:jc w:val="both"/>
        <w:rPr>
          <w:rFonts w:ascii="Times New Roman" w:hAnsi="Times New Roman"/>
          <w:color w:val="000000"/>
          <w:sz w:val="20"/>
          <w:szCs w:val="20"/>
        </w:rPr>
      </w:pPr>
      <w:bookmarkStart w:id="6" w:name="co_anchor_Ic6d5cc40497d11e8bc75e15fbdd7c"/>
      <w:bookmarkEnd w:id="6"/>
    </w:p>
    <w:p w:rsidR="00101F74" w:rsidRDefault="00E50960">
      <w:pPr>
        <w:widowControl w:val="0"/>
        <w:autoSpaceDE w:val="0"/>
        <w:autoSpaceDN w:val="0"/>
        <w:adjustRightInd w:val="0"/>
        <w:spacing w:before="200"/>
        <w:ind w:left="200"/>
        <w:rPr>
          <w:rFonts w:ascii="Times New Roman" w:hAnsi="Times New Roman"/>
          <w:b/>
          <w:bCs/>
          <w:color w:val="000000"/>
          <w:sz w:val="20"/>
          <w:szCs w:val="20"/>
        </w:rPr>
      </w:pPr>
      <w:r>
        <w:rPr>
          <w:rFonts w:ascii="Times New Roman" w:hAnsi="Times New Roman"/>
          <w:b/>
          <w:bCs/>
          <w:color w:val="000000"/>
          <w:sz w:val="20"/>
          <w:szCs w:val="20"/>
        </w:rPr>
        <w:t>I. Background</w:t>
      </w:r>
    </w:p>
    <w:p w:rsidR="00101F74" w:rsidRDefault="00E50960">
      <w:pPr>
        <w:widowControl w:val="0"/>
        <w:autoSpaceDE w:val="0"/>
        <w:autoSpaceDN w:val="0"/>
        <w:adjustRightInd w:val="0"/>
        <w:spacing w:before="400" w:after="200"/>
        <w:jc w:val="center"/>
        <w:rPr>
          <w:rFonts w:ascii="Times New Roman" w:hAnsi="Times New Roman"/>
          <w:color w:val="000000"/>
          <w:sz w:val="20"/>
          <w:szCs w:val="20"/>
          <w:u w:val="single"/>
        </w:rPr>
      </w:pPr>
      <w:r>
        <w:rPr>
          <w:rFonts w:ascii="Times New Roman" w:hAnsi="Times New Roman"/>
          <w:color w:val="000000"/>
          <w:sz w:val="20"/>
          <w:szCs w:val="20"/>
        </w:rPr>
        <w:t xml:space="preserve">A. </w:t>
      </w:r>
      <w:r>
        <w:rPr>
          <w:rFonts w:ascii="Times New Roman" w:hAnsi="Times New Roman"/>
          <w:color w:val="000000"/>
          <w:sz w:val="20"/>
          <w:szCs w:val="20"/>
          <w:u w:val="single"/>
        </w:rPr>
        <w:t>The Endangered Species Act and Citizen Petitions</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The Endangered Species Act serves to protect threatened or endangered species. Under the Act, an “endangered” species is one that is “in danger of extinction throughout all or a significant portion of its range” and a “threatened” species is one that is “likely to become an endangered species within the foreseeable future throughout all or a significant portion of its range.” </w:t>
      </w:r>
      <w:hyperlink r:id="rId11" w:anchor="co_pp_1e9a0000fd6a3" w:history="1">
        <w:r>
          <w:rPr>
            <w:rFonts w:ascii="Times New Roman" w:hAnsi="Times New Roman"/>
            <w:color w:val="0000FF"/>
            <w:sz w:val="20"/>
            <w:szCs w:val="20"/>
          </w:rPr>
          <w:t>16 U.S.C. § 1532(6)</w:t>
        </w:r>
      </w:hyperlink>
      <w:r>
        <w:rPr>
          <w:rFonts w:ascii="Times New Roman" w:hAnsi="Times New Roman"/>
          <w:color w:val="000000"/>
          <w:sz w:val="20"/>
          <w:szCs w:val="20"/>
        </w:rPr>
        <w:t xml:space="preserve">, </w:t>
      </w:r>
      <w:hyperlink r:id="rId12" w:anchor="co_pp_c155000070793" w:history="1">
        <w:r>
          <w:rPr>
            <w:rFonts w:ascii="Times New Roman" w:hAnsi="Times New Roman"/>
            <w:color w:val="0000FF"/>
            <w:sz w:val="20"/>
            <w:szCs w:val="20"/>
          </w:rPr>
          <w:t>(20)</w:t>
        </w:r>
      </w:hyperlink>
      <w:r>
        <w:rPr>
          <w:rFonts w:ascii="Times New Roman" w:hAnsi="Times New Roman"/>
          <w:color w:val="000000"/>
          <w:sz w:val="20"/>
          <w:szCs w:val="20"/>
        </w:rPr>
        <w:t xml:space="preserve">. A </w:t>
      </w:r>
      <w:bookmarkStart w:id="7" w:name="co_pp_sp_7903_106_1"/>
      <w:bookmarkEnd w:id="7"/>
      <w:r>
        <w:rPr>
          <w:rFonts w:ascii="Times New Roman" w:hAnsi="Times New Roman"/>
          <w:b/>
          <w:bCs/>
          <w:color w:val="000000"/>
          <w:sz w:val="20"/>
          <w:szCs w:val="20"/>
        </w:rPr>
        <w:t>*106</w:t>
      </w:r>
      <w:r>
        <w:rPr>
          <w:rFonts w:ascii="Times New Roman" w:hAnsi="Times New Roman"/>
          <w:color w:val="000000"/>
          <w:sz w:val="20"/>
          <w:szCs w:val="20"/>
        </w:rPr>
        <w:t xml:space="preserve"> species can be endangered or threatened by any one of five factors: (1) “the present or threatened destruction, modification, or curtailment of its habitat or range;” (2) “overutilization for commercial, recreational, scientific, or educational purposes;” (3) “disease or predation;” (4) “the inadequacy of existing regulatory mechanisms;” or (5) “other natural or manmade factors affecting its continued existence.” </w:t>
      </w:r>
      <w:r>
        <w:rPr>
          <w:rFonts w:ascii="Times New Roman" w:hAnsi="Times New Roman"/>
          <w:color w:val="000000"/>
          <w:sz w:val="20"/>
          <w:szCs w:val="20"/>
          <w:u w:val="single"/>
        </w:rPr>
        <w:t>Id.</w:t>
      </w:r>
      <w:r>
        <w:rPr>
          <w:rFonts w:ascii="Times New Roman" w:hAnsi="Times New Roman"/>
          <w:color w:val="000000"/>
          <w:sz w:val="20"/>
          <w:szCs w:val="20"/>
        </w:rPr>
        <w:t xml:space="preserve"> § 1533(a)(1). The Secretary of the Interior is responsible for determining whether a species is endangered or threatened, and must base such determinations “solely on ... the best scientific and commercial data available.” </w:t>
      </w:r>
      <w:r>
        <w:rPr>
          <w:rFonts w:ascii="Times New Roman" w:hAnsi="Times New Roman"/>
          <w:color w:val="000000"/>
          <w:sz w:val="20"/>
          <w:szCs w:val="20"/>
          <w:u w:val="single"/>
        </w:rPr>
        <w:t>Id.</w:t>
      </w:r>
      <w:r>
        <w:rPr>
          <w:rFonts w:ascii="Times New Roman" w:hAnsi="Times New Roman"/>
          <w:color w:val="000000"/>
          <w:sz w:val="20"/>
          <w:szCs w:val="20"/>
        </w:rPr>
        <w:t xml:space="preserve"> § 1533(b)(1)(A).</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Individuals may petition the Secretary “to add a species to, or to remove a species from” the list of endangered and threatened species. </w:t>
      </w:r>
      <w:r>
        <w:rPr>
          <w:rFonts w:ascii="Times New Roman" w:hAnsi="Times New Roman"/>
          <w:color w:val="000000"/>
          <w:sz w:val="20"/>
          <w:szCs w:val="20"/>
          <w:u w:val="single"/>
        </w:rPr>
        <w:t>Id.</w:t>
      </w:r>
      <w:r>
        <w:rPr>
          <w:rFonts w:ascii="Times New Roman" w:hAnsi="Times New Roman"/>
          <w:color w:val="000000"/>
          <w:sz w:val="20"/>
          <w:szCs w:val="20"/>
        </w:rPr>
        <w:t xml:space="preserve"> § 1533(b)(3)(A). When the Secretary receives such a petition, he is directed “[t]o the maximum extent practicable, within 90 days after receiving the petition” to “make a finding as to whether the petition presents substantial scientific or commercial information indicating that the petitioned action may be warranted.” </w:t>
      </w:r>
      <w:r>
        <w:rPr>
          <w:rFonts w:ascii="Times New Roman" w:hAnsi="Times New Roman"/>
          <w:color w:val="000000"/>
          <w:sz w:val="20"/>
          <w:szCs w:val="20"/>
          <w:u w:val="single"/>
        </w:rPr>
        <w:t>Id.</w:t>
      </w:r>
      <w:r>
        <w:rPr>
          <w:rFonts w:ascii="Times New Roman" w:hAnsi="Times New Roman"/>
          <w:color w:val="000000"/>
          <w:sz w:val="20"/>
          <w:szCs w:val="20"/>
        </w:rPr>
        <w:t xml:space="preserve"> Service regulations at the relevant time </w:t>
      </w:r>
      <w:r>
        <w:rPr>
          <w:rFonts w:ascii="Times New Roman" w:hAnsi="Times New Roman"/>
          <w:color w:val="000000"/>
          <w:sz w:val="20"/>
          <w:szCs w:val="20"/>
        </w:rPr>
        <w:lastRenderedPageBreak/>
        <w:t xml:space="preserve">defined “substantial information” as “that amount of information that would lead a reasonable person to believe that the measure proposed in the petition may be warranted.” </w:t>
      </w:r>
      <w:hyperlink r:id="rId13" w:history="1">
        <w:r>
          <w:rPr>
            <w:rFonts w:ascii="Times New Roman" w:hAnsi="Times New Roman"/>
            <w:color w:val="0000FF"/>
            <w:sz w:val="20"/>
            <w:szCs w:val="20"/>
          </w:rPr>
          <w:t>50 C.F.R. § 424.14(b)(1) (2016)</w:t>
        </w:r>
      </w:hyperlink>
      <w:r>
        <w:rPr>
          <w:rFonts w:ascii="Times New Roman" w:hAnsi="Times New Roman"/>
          <w:color w:val="000000"/>
          <w:sz w:val="20"/>
          <w:szCs w:val="20"/>
        </w:rPr>
        <w:t>.</w:t>
      </w:r>
      <w:bookmarkStart w:id="8" w:name="co_footnoteReference_B00012043717331_ID0"/>
      <w:bookmarkEnd w:id="8"/>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"#co_footnote_B00012043717331_1" </w:instrText>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w:t>
      </w:r>
      <w:r>
        <w:rPr>
          <w:rFonts w:ascii="Times New Roman" w:hAnsi="Times New Roman"/>
          <w:color w:val="000000"/>
          <w:sz w:val="16"/>
          <w:szCs w:val="16"/>
        </w:rPr>
        <w:fldChar w:fldCharType="end"/>
      </w:r>
      <w:r>
        <w:rPr>
          <w:rFonts w:ascii="Times New Roman" w:hAnsi="Times New Roman"/>
          <w:color w:val="000000"/>
          <w:sz w:val="20"/>
          <w:szCs w:val="20"/>
        </w:rPr>
        <w:t xml:space="preserve"> If the Secretary concludes that there is substantial evidence, then the petition advances to further review and, within 12 months and following public comment, the Secretary must determine whether the petitioned action is warranted or not and, if it is warranted, publish a proposed implementing regulation. </w:t>
      </w:r>
      <w:hyperlink r:id="rId14" w:anchor="co_pp_6a460000f7311" w:history="1">
        <w:r>
          <w:rPr>
            <w:rFonts w:ascii="Times New Roman" w:hAnsi="Times New Roman"/>
            <w:color w:val="0000FF"/>
            <w:sz w:val="20"/>
            <w:szCs w:val="20"/>
          </w:rPr>
          <w:t>16 U.S.C. § 1533(b)(3)(B)</w:t>
        </w:r>
      </w:hyperlink>
      <w:r>
        <w:rPr>
          <w:rFonts w:ascii="Times New Roman" w:hAnsi="Times New Roman"/>
          <w:color w:val="000000"/>
          <w:sz w:val="20"/>
          <w:szCs w:val="20"/>
        </w:rPr>
        <w:t>. This additional consideration is known as a “12 month review.”</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12043717331_1" w:history="1">
        <w:r w:rsidR="00E50960">
          <w:rPr>
            <w:rFonts w:ascii="Times New Roman" w:hAnsi="Times New Roman"/>
            <w:b/>
            <w:bCs/>
            <w:color w:val="252525"/>
            <w:sz w:val="20"/>
            <w:szCs w:val="20"/>
            <w:vertAlign w:val="superscript"/>
          </w:rPr>
          <w:t>[1]</w:t>
        </w:r>
      </w:hyperlink>
      <w:bookmarkStart w:id="9" w:name="co_anchor_B12043717331_1"/>
      <w:bookmarkEnd w:id="9"/>
      <w:r w:rsidR="00E50960">
        <w:rPr>
          <w:rFonts w:ascii="Times New Roman" w:hAnsi="Times New Roman"/>
          <w:color w:val="000000"/>
          <w:sz w:val="20"/>
          <w:szCs w:val="20"/>
        </w:rPr>
        <w:t xml:space="preserve"> </w:t>
      </w:r>
      <w:hyperlink w:anchor="co_anchor_F22043717331_1" w:history="1">
        <w:r w:rsidR="00E50960">
          <w:rPr>
            <w:rFonts w:ascii="Times New Roman" w:hAnsi="Times New Roman"/>
            <w:b/>
            <w:bCs/>
            <w:color w:val="252525"/>
            <w:sz w:val="20"/>
            <w:szCs w:val="20"/>
            <w:vertAlign w:val="superscript"/>
          </w:rPr>
          <w:t>[2]</w:t>
        </w:r>
      </w:hyperlink>
      <w:bookmarkStart w:id="10" w:name="co_anchor_B22043717331_1"/>
      <w:bookmarkEnd w:id="10"/>
      <w:r w:rsidR="00E50960">
        <w:rPr>
          <w:rFonts w:ascii="Times New Roman" w:hAnsi="Times New Roman"/>
          <w:color w:val="000000"/>
          <w:sz w:val="20"/>
          <w:szCs w:val="20"/>
        </w:rPr>
        <w:t xml:space="preserve">The “substantial evidence” standard applied at the 90–day finding period is not a rigorous one. A petitioner need not present “conclusive evidence regarding” threats to a species. </w:t>
      </w:r>
      <w:hyperlink r:id="rId15" w:anchor="co_pp_sp_7903_14" w:history="1">
        <w:r w:rsidR="00E50960">
          <w:rPr>
            <w:rFonts w:ascii="Times New Roman" w:hAnsi="Times New Roman"/>
            <w:color w:val="0000FF"/>
            <w:sz w:val="20"/>
            <w:szCs w:val="20"/>
            <w:u w:val="single"/>
          </w:rPr>
          <w:t>Humane Soc’y of U.S. v. Pritzker</w:t>
        </w:r>
        <w:r w:rsidR="00E50960">
          <w:rPr>
            <w:rFonts w:ascii="Times New Roman" w:hAnsi="Times New Roman"/>
            <w:color w:val="0000FF"/>
            <w:sz w:val="20"/>
            <w:szCs w:val="20"/>
          </w:rPr>
          <w:t>, 75 F.Supp.3d 1, 14 (D.D.C. 2014)</w:t>
        </w:r>
      </w:hyperlink>
      <w:r w:rsidR="00E50960">
        <w:rPr>
          <w:rFonts w:ascii="Times New Roman" w:hAnsi="Times New Roman"/>
          <w:color w:val="000000"/>
          <w:sz w:val="20"/>
          <w:szCs w:val="20"/>
        </w:rPr>
        <w:t xml:space="preserve">; </w:t>
      </w:r>
      <w:r w:rsidR="00E50960">
        <w:rPr>
          <w:rFonts w:ascii="Times New Roman" w:hAnsi="Times New Roman"/>
          <w:color w:val="000000"/>
          <w:sz w:val="20"/>
          <w:szCs w:val="20"/>
          <w:u w:val="single"/>
        </w:rPr>
        <w:t>see also</w:t>
      </w:r>
      <w:r w:rsidR="00E50960">
        <w:rPr>
          <w:rFonts w:ascii="Times New Roman" w:hAnsi="Times New Roman"/>
          <w:color w:val="000000"/>
          <w:sz w:val="20"/>
          <w:szCs w:val="20"/>
        </w:rPr>
        <w:t xml:space="preserve"> </w:t>
      </w:r>
      <w:hyperlink r:id="rId16" w:anchor="co_pp_sp_4637_1140" w:history="1">
        <w:r w:rsidR="00E50960">
          <w:rPr>
            <w:rFonts w:ascii="Times New Roman" w:hAnsi="Times New Roman"/>
            <w:color w:val="0000FF"/>
            <w:sz w:val="20"/>
            <w:szCs w:val="20"/>
            <w:u w:val="single"/>
          </w:rPr>
          <w:t>Ctr. for Biological Diversity v. Morgenweck</w:t>
        </w:r>
        <w:r w:rsidR="00E50960">
          <w:rPr>
            <w:rFonts w:ascii="Times New Roman" w:hAnsi="Times New Roman"/>
            <w:color w:val="0000FF"/>
            <w:sz w:val="20"/>
            <w:szCs w:val="20"/>
          </w:rPr>
          <w:t>, 351 F.Supp.2d 1137, 1140 (D. Colo. 2004)</w:t>
        </w:r>
      </w:hyperlink>
      <w:r w:rsidR="00E50960">
        <w:rPr>
          <w:rFonts w:ascii="Times New Roman" w:hAnsi="Times New Roman"/>
          <w:color w:val="000000"/>
          <w:sz w:val="20"/>
          <w:szCs w:val="20"/>
        </w:rPr>
        <w:t xml:space="preserve"> (“[T]he ESA does not require such conclusive evidence that listing is warranted to go to the next step.”); </w:t>
      </w:r>
      <w:hyperlink r:id="rId17" w:anchor="co_pp_sp_4637_1203" w:history="1">
        <w:r w:rsidR="00E50960">
          <w:rPr>
            <w:rFonts w:ascii="Times New Roman" w:hAnsi="Times New Roman"/>
            <w:color w:val="0000FF"/>
            <w:sz w:val="20"/>
            <w:szCs w:val="20"/>
            <w:u w:val="single"/>
          </w:rPr>
          <w:t>Moden v. U.S. Fish &amp; Wildlife Service</w:t>
        </w:r>
        <w:r w:rsidR="00E50960">
          <w:rPr>
            <w:rFonts w:ascii="Times New Roman" w:hAnsi="Times New Roman"/>
            <w:color w:val="0000FF"/>
            <w:sz w:val="20"/>
            <w:szCs w:val="20"/>
          </w:rPr>
          <w:t>, 281 F.Supp.2d 1193, 1203 (D. Or. 2003)</w:t>
        </w:r>
      </w:hyperlink>
      <w:r w:rsidR="00E50960">
        <w:rPr>
          <w:rFonts w:ascii="Times New Roman" w:hAnsi="Times New Roman"/>
          <w:color w:val="000000"/>
          <w:sz w:val="20"/>
          <w:szCs w:val="20"/>
        </w:rPr>
        <w:t xml:space="preserve"> (“[T]he standard in reviewing a petition to delist does not require conclusive evidence that delisting is warranted.”). And in making its 90–day determination, the Service is confined to the information contained in the petition or the Service’s files. </w:t>
      </w:r>
      <w:r w:rsidR="00E50960">
        <w:rPr>
          <w:rFonts w:ascii="Times New Roman" w:hAnsi="Times New Roman"/>
          <w:color w:val="000000"/>
          <w:sz w:val="20"/>
          <w:szCs w:val="20"/>
          <w:u w:val="single"/>
        </w:rPr>
        <w:t>See, e.g.</w:t>
      </w:r>
      <w:r w:rsidR="00E50960">
        <w:rPr>
          <w:rFonts w:ascii="Times New Roman" w:hAnsi="Times New Roman"/>
          <w:color w:val="000000"/>
          <w:sz w:val="20"/>
          <w:szCs w:val="20"/>
        </w:rPr>
        <w:t xml:space="preserve">, </w:t>
      </w:r>
      <w:hyperlink r:id="rId18" w:history="1">
        <w:r w:rsidR="00E50960">
          <w:rPr>
            <w:rFonts w:ascii="Times New Roman" w:hAnsi="Times New Roman"/>
            <w:color w:val="0000FF"/>
            <w:sz w:val="20"/>
            <w:szCs w:val="20"/>
            <w:u w:val="single"/>
          </w:rPr>
          <w:t>McCrary v. Gutierrez</w:t>
        </w:r>
        <w:r w:rsidR="00E50960">
          <w:rPr>
            <w:rFonts w:ascii="Times New Roman" w:hAnsi="Times New Roman"/>
            <w:color w:val="0000FF"/>
            <w:sz w:val="20"/>
            <w:szCs w:val="20"/>
          </w:rPr>
          <w:t>, 2010 WL 520762, at *2 (N.D. Cal. Feb. 8, 2010)</w:t>
        </w:r>
      </w:hyperlink>
      <w:r w:rsidR="00E50960">
        <w:rPr>
          <w:rFonts w:ascii="Times New Roman" w:hAnsi="Times New Roman"/>
          <w:color w:val="000000"/>
          <w:sz w:val="20"/>
          <w:szCs w:val="20"/>
        </w:rPr>
        <w:t xml:space="preserve">; </w:t>
      </w:r>
      <w:hyperlink r:id="rId19" w:anchor="co_pp_sp_4637_176" w:history="1">
        <w:r w:rsidR="00E50960">
          <w:rPr>
            <w:rFonts w:ascii="Times New Roman" w:hAnsi="Times New Roman"/>
            <w:color w:val="0000FF"/>
            <w:sz w:val="20"/>
            <w:szCs w:val="20"/>
            <w:u w:val="single"/>
          </w:rPr>
          <w:t>Colorado River Cutthroat Trout v. Kempthorne</w:t>
        </w:r>
        <w:r w:rsidR="00E50960">
          <w:rPr>
            <w:rFonts w:ascii="Times New Roman" w:hAnsi="Times New Roman"/>
            <w:color w:val="0000FF"/>
            <w:sz w:val="20"/>
            <w:szCs w:val="20"/>
          </w:rPr>
          <w:t>, 448 F.Supp.2d 170, 176 (D.D.C. 2006)</w:t>
        </w:r>
      </w:hyperlink>
      <w:r w:rsidR="00E50960">
        <w:rPr>
          <w:rFonts w:ascii="Times New Roman" w:hAnsi="Times New Roman"/>
          <w:color w:val="000000"/>
          <w:sz w:val="20"/>
          <w:szCs w:val="20"/>
        </w:rPr>
        <w:t>.</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101F74">
      <w:pPr>
        <w:widowControl w:val="0"/>
        <w:autoSpaceDE w:val="0"/>
        <w:autoSpaceDN w:val="0"/>
        <w:adjustRightInd w:val="0"/>
        <w:jc w:val="both"/>
        <w:rPr>
          <w:rFonts w:ascii="Times New Roman" w:hAnsi="Times New Roman"/>
          <w:color w:val="000000"/>
          <w:sz w:val="20"/>
          <w:szCs w:val="20"/>
        </w:rPr>
      </w:pPr>
      <w:bookmarkStart w:id="11" w:name="co_anchor_Ic6da8730497d11e8bc75e15fbdd7c"/>
      <w:bookmarkEnd w:id="11"/>
    </w:p>
    <w:p w:rsidR="00101F74" w:rsidRDefault="00E50960">
      <w:pPr>
        <w:widowControl w:val="0"/>
        <w:autoSpaceDE w:val="0"/>
        <w:autoSpaceDN w:val="0"/>
        <w:adjustRightInd w:val="0"/>
        <w:spacing w:before="400" w:after="200"/>
        <w:jc w:val="center"/>
        <w:rPr>
          <w:rFonts w:ascii="Times New Roman" w:hAnsi="Times New Roman"/>
          <w:color w:val="000000"/>
          <w:sz w:val="20"/>
          <w:szCs w:val="20"/>
          <w:u w:val="single"/>
        </w:rPr>
      </w:pPr>
      <w:r>
        <w:rPr>
          <w:rFonts w:ascii="Times New Roman" w:hAnsi="Times New Roman"/>
          <w:color w:val="000000"/>
          <w:sz w:val="20"/>
          <w:szCs w:val="20"/>
        </w:rPr>
        <w:t xml:space="preserve">B. </w:t>
      </w:r>
      <w:r>
        <w:rPr>
          <w:rFonts w:ascii="Times New Roman" w:hAnsi="Times New Roman"/>
          <w:color w:val="000000"/>
          <w:sz w:val="20"/>
          <w:szCs w:val="20"/>
          <w:u w:val="single"/>
        </w:rPr>
        <w:t>The Yellowstone Bison 90–Day Finding</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Before European settlers arrived, bison occupied millions of square kilometers across North America. A.R. 376. By 1889, however, they had been driven near extinction, with less than 1,000 still alive in the wild. A.R. 371. Many of the few hundred remaining bison were captured and sent to zoos or private ranches. </w:t>
      </w:r>
      <w:r>
        <w:rPr>
          <w:rFonts w:ascii="Times New Roman" w:hAnsi="Times New Roman"/>
          <w:color w:val="000000"/>
          <w:sz w:val="20"/>
          <w:szCs w:val="20"/>
          <w:u w:val="single"/>
        </w:rPr>
        <w:t>Id.</w:t>
      </w:r>
      <w:r>
        <w:rPr>
          <w:rFonts w:ascii="Times New Roman" w:hAnsi="Times New Roman"/>
          <w:color w:val="000000"/>
          <w:sz w:val="20"/>
          <w:szCs w:val="20"/>
        </w:rPr>
        <w:t xml:space="preserve"> Today, bison are nearly extinct from their historic range. A.R. 376. The largest extant herd of bison in the wild now occupies roughly 20,000 square kilometers in the area around and inside Yellowstone National Park. A.R. 376. Moreover, the Yellowstone bison are the only significant herd of bison with no evidence of hybridization with cattle, thus representing a genetically important </w:t>
      </w:r>
      <w:bookmarkStart w:id="12" w:name="co_pp_sp_7903_107_1"/>
      <w:bookmarkEnd w:id="12"/>
      <w:r>
        <w:rPr>
          <w:rFonts w:ascii="Times New Roman" w:hAnsi="Times New Roman"/>
          <w:b/>
          <w:bCs/>
          <w:color w:val="000000"/>
          <w:sz w:val="20"/>
          <w:szCs w:val="20"/>
        </w:rPr>
        <w:t>*107</w:t>
      </w:r>
      <w:r>
        <w:rPr>
          <w:rFonts w:ascii="Times New Roman" w:hAnsi="Times New Roman"/>
          <w:color w:val="000000"/>
          <w:sz w:val="20"/>
          <w:szCs w:val="20"/>
        </w:rPr>
        <w:t xml:space="preserve"> population. A.R. 379. As of June 2014, there were an estimated 4,900 bison in the Yellowstone population. A.R. 548.</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The bison population resides principally, but not wholly, within the boundaries of Yellowstone National Park. A.R. </w:t>
      </w:r>
      <w:r>
        <w:rPr>
          <w:rFonts w:ascii="Times New Roman" w:hAnsi="Times New Roman"/>
          <w:color w:val="000000"/>
          <w:sz w:val="20"/>
          <w:szCs w:val="20"/>
        </w:rPr>
        <w:t xml:space="preserve">5. During the winter, bison can range outside the Park onto public and private lands. A.R. 376. Within its territory, the bison population is organized into two separate herds, known as the “Central” and “Northern” herds. A.R. 385. Some scientific literature has suggested that these herds are in fact genetically distinct populations of bison, each of which should be preserved. </w:t>
      </w:r>
      <w:r>
        <w:rPr>
          <w:rFonts w:ascii="Times New Roman" w:hAnsi="Times New Roman"/>
          <w:color w:val="000000"/>
          <w:sz w:val="20"/>
          <w:szCs w:val="20"/>
          <w:u w:val="single"/>
        </w:rPr>
        <w:t>See</w:t>
      </w:r>
      <w:r>
        <w:rPr>
          <w:rFonts w:ascii="Times New Roman" w:hAnsi="Times New Roman"/>
          <w:color w:val="000000"/>
          <w:sz w:val="20"/>
          <w:szCs w:val="20"/>
        </w:rPr>
        <w:t xml:space="preserve"> Natalie D. Halbert et al., “Genetic Population Substructure in Bison at Yellowstone National Park,” 103 J. Heredity 360, 367 (2012). Other experts have contended that the two herds were artificially created and thus no distinction should be maintained. </w:t>
      </w:r>
      <w:r>
        <w:rPr>
          <w:rFonts w:ascii="Times New Roman" w:hAnsi="Times New Roman"/>
          <w:color w:val="000000"/>
          <w:sz w:val="20"/>
          <w:szCs w:val="20"/>
          <w:u w:val="single"/>
        </w:rPr>
        <w:t>See</w:t>
      </w:r>
      <w:r>
        <w:rPr>
          <w:rFonts w:ascii="Times New Roman" w:hAnsi="Times New Roman"/>
          <w:color w:val="000000"/>
          <w:sz w:val="20"/>
          <w:szCs w:val="20"/>
        </w:rPr>
        <w:t xml:space="preserve"> Patrick J. White &amp; Rick L. Wallen, “Yellowstone Bison—Should We Preserve Artificial Population Substructure or Rely on Ecological Processes?”, 103 J. Heredity 751, 752 (2012).</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At present, the bison population in Yellowstone is listed neither as endangered nor threatened. Instead, it is managed by the Interagency Bison Management Plan for the State of Montana and Yellowstone National Park (the “IBMP” or “Management Plan”). The IBMP was adopted in 2000 after a decade of negotiation and planning among the National Park Service, the U.S. Department of Agriculture, and the State of Montana. A.R. 4064. The Plan sought “to continue research and take conservative but protective steps toward cooperative management of the bison while protecting Montana’s </w:t>
      </w:r>
      <w:hyperlink r:id="rId20" w:history="1">
        <w:r>
          <w:rPr>
            <w:rFonts w:ascii="Times New Roman" w:hAnsi="Times New Roman"/>
            <w:color w:val="0000FF"/>
            <w:sz w:val="20"/>
            <w:szCs w:val="20"/>
          </w:rPr>
          <w:t>brucellosis</w:t>
        </w:r>
      </w:hyperlink>
      <w:r>
        <w:rPr>
          <w:rFonts w:ascii="Times New Roman" w:hAnsi="Times New Roman"/>
          <w:color w:val="000000"/>
          <w:sz w:val="20"/>
          <w:szCs w:val="20"/>
        </w:rPr>
        <w:t xml:space="preserve"> class-free status.” A.R. 4066. (</w:t>
      </w:r>
      <w:hyperlink r:id="rId21" w:history="1">
        <w:r>
          <w:rPr>
            <w:rFonts w:ascii="Times New Roman" w:hAnsi="Times New Roman"/>
            <w:color w:val="0000FF"/>
            <w:sz w:val="20"/>
            <w:szCs w:val="20"/>
          </w:rPr>
          <w:t>Brucellosis</w:t>
        </w:r>
      </w:hyperlink>
      <w:r>
        <w:rPr>
          <w:rFonts w:ascii="Times New Roman" w:hAnsi="Times New Roman"/>
          <w:color w:val="000000"/>
          <w:sz w:val="20"/>
          <w:szCs w:val="20"/>
        </w:rPr>
        <w:t xml:space="preserve"> is a disease that can be transmitted from bison to cattle and that causes reproductive failure in infected animals. A.R. 404.)</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The IBMP sets a target of 3,000 for the entire population of bison in Yellowstone, covering both the Central and Northern herds. A.R. 4093. It also establishes boundaries for the population’s territory. A.R. 4072. During the spring, pursuant to the Plan, bison are hazed back into the boundaries of Yellowstone National Park and off of public and private lands outside the Park. A.R. 4072. In addition, the Plan provides for the capture and testing of bison for </w:t>
      </w:r>
      <w:hyperlink r:id="rId22" w:history="1">
        <w:r>
          <w:rPr>
            <w:rFonts w:ascii="Times New Roman" w:hAnsi="Times New Roman"/>
            <w:color w:val="0000FF"/>
            <w:sz w:val="20"/>
            <w:szCs w:val="20"/>
          </w:rPr>
          <w:t>brucellosis</w:t>
        </w:r>
      </w:hyperlink>
      <w:r>
        <w:rPr>
          <w:rFonts w:ascii="Times New Roman" w:hAnsi="Times New Roman"/>
          <w:color w:val="000000"/>
          <w:sz w:val="20"/>
          <w:szCs w:val="20"/>
        </w:rPr>
        <w:t xml:space="preserve"> when they leave the Park during the winter migration. </w:t>
      </w:r>
      <w:r>
        <w:rPr>
          <w:rFonts w:ascii="Times New Roman" w:hAnsi="Times New Roman"/>
          <w:color w:val="000000"/>
          <w:sz w:val="20"/>
          <w:szCs w:val="20"/>
          <w:u w:val="single"/>
        </w:rPr>
        <w:t>Id.</w:t>
      </w:r>
      <w:r>
        <w:rPr>
          <w:rFonts w:ascii="Times New Roman" w:hAnsi="Times New Roman"/>
          <w:color w:val="000000"/>
          <w:sz w:val="20"/>
          <w:szCs w:val="20"/>
        </w:rPr>
        <w:t xml:space="preserve"> at 4072–73. It also details the methods used to monitor pregnant bison, since one of the chief means of transmission of </w:t>
      </w:r>
      <w:hyperlink r:id="rId23" w:history="1">
        <w:r>
          <w:rPr>
            <w:rFonts w:ascii="Times New Roman" w:hAnsi="Times New Roman"/>
            <w:color w:val="0000FF"/>
            <w:sz w:val="20"/>
            <w:szCs w:val="20"/>
          </w:rPr>
          <w:t>brucellosis</w:t>
        </w:r>
      </w:hyperlink>
      <w:r>
        <w:rPr>
          <w:rFonts w:ascii="Times New Roman" w:hAnsi="Times New Roman"/>
          <w:color w:val="000000"/>
          <w:sz w:val="20"/>
          <w:szCs w:val="20"/>
        </w:rPr>
        <w:t xml:space="preserve"> is through the remains of miscarriages or live births. </w:t>
      </w:r>
      <w:r>
        <w:rPr>
          <w:rFonts w:ascii="Times New Roman" w:hAnsi="Times New Roman"/>
          <w:color w:val="000000"/>
          <w:sz w:val="20"/>
          <w:szCs w:val="20"/>
          <w:u w:val="single"/>
        </w:rPr>
        <w:t>Id.</w:t>
      </w:r>
      <w:r>
        <w:rPr>
          <w:rFonts w:ascii="Times New Roman" w:hAnsi="Times New Roman"/>
          <w:color w:val="000000"/>
          <w:sz w:val="20"/>
          <w:szCs w:val="20"/>
        </w:rPr>
        <w:t xml:space="preserve"> at 4072. Finally, the Plan provides that if the bison population in late-winter/early-spring exceeds 3,000, steps may be taken to reduce the population by capturing bison exiting the Park and removing them to quarantine or slaughter. A.R. 4093.</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On November 13, 2014, Western Watersheds Project and Buffalo Field Campaign filed a citizen petition (the “First Petition”) to list the population of bison in and around Yellowstone National Park as an endangered or threatened species. A.R. 370. A second petition was filed </w:t>
      </w:r>
      <w:r>
        <w:rPr>
          <w:rFonts w:ascii="Times New Roman" w:hAnsi="Times New Roman"/>
          <w:color w:val="000000"/>
          <w:sz w:val="20"/>
          <w:szCs w:val="20"/>
        </w:rPr>
        <w:lastRenderedPageBreak/>
        <w:t>on March 2, 2015 by James Horsley (the “Second Petition”). A.R. 39. Two previous petitions, one submitted in 1999 and the other in 2011, had been denied by the U.S. Fish and Wildlife Service. A.R. 372.</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Both petitions contended that the Yellowstone bison population should be listed as threatened or endangered. A.R. 390 (First Petition); A.R. 85 (Second Petition). The First Petition argued that the bison population was threatened or endangered because of restrictions in its range due to historical loss, livestock grazing, infrastructure and development, and invasive species. A.R. 398–400. The First Petition cited overutilization from hunting, disease, and climate change as threats to the bison’s </w:t>
      </w:r>
      <w:bookmarkStart w:id="13" w:name="co_pp_sp_7903_108_1"/>
      <w:bookmarkEnd w:id="13"/>
      <w:r>
        <w:rPr>
          <w:rFonts w:ascii="Times New Roman" w:hAnsi="Times New Roman"/>
          <w:b/>
          <w:bCs/>
          <w:color w:val="000000"/>
          <w:sz w:val="20"/>
          <w:szCs w:val="20"/>
        </w:rPr>
        <w:t>*108</w:t>
      </w:r>
      <w:r>
        <w:rPr>
          <w:rFonts w:ascii="Times New Roman" w:hAnsi="Times New Roman"/>
          <w:color w:val="000000"/>
          <w:sz w:val="20"/>
          <w:szCs w:val="20"/>
        </w:rPr>
        <w:t xml:space="preserve"> survival. A.R. 402–06, 413. Finally, the First Petition contended that the existing regulatory mechanism—the IBMP—was inadequate, in part because it (1) was primarily designed to protect against brucellosis—which, the Petition contends, is not nearly as significant a threat from bison-to-cattle transmission as the IBMP claims—rather than to ensure the survival of the bison, and (2) fails to account for the two distinct genetic herds when setting a population target and thus sets too low a population target to ensure the genetic survival of both herds (and thereby the entire population). A.R. 406–10. The Second Petition took similar aim at the IBMP and the population target it set, arguing that they are inadequate to maintain the genetic diversity of the bison, that the Plan focused on </w:t>
      </w:r>
      <w:hyperlink r:id="rId24" w:history="1">
        <w:r>
          <w:rPr>
            <w:rFonts w:ascii="Times New Roman" w:hAnsi="Times New Roman"/>
            <w:color w:val="0000FF"/>
            <w:sz w:val="20"/>
            <w:szCs w:val="20"/>
          </w:rPr>
          <w:t>brucellosis</w:t>
        </w:r>
      </w:hyperlink>
      <w:r>
        <w:rPr>
          <w:rFonts w:ascii="Times New Roman" w:hAnsi="Times New Roman"/>
          <w:color w:val="000000"/>
          <w:sz w:val="20"/>
          <w:szCs w:val="20"/>
        </w:rPr>
        <w:t xml:space="preserve"> prevention rather than bison preservation, and that over-utilization and loss of habitat threatened the species. A.R. 70, 84, 85–86.</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On December 15, 2015—over six months after the Second Petition was filed and a year following the First—the U.S. Fish and Wildlife Service denied the two petitions. A.R. 16. The Service ultimately held that the petitions had failed to present substantial scientific or commercial evidence indicating that listing the Yellowstone bison may be warranted. A.R. 2. The Service noted that, in light of the current stable-to-increasing bison population, the petitions failed to present substantial evidence of a threat from loss of historic range or disease. A.R. 3, 11. With respect to livestock grazing, development and infrastructure, and invasive species—threats identified in the First Petition—the Service stated that that petition did not provide evidence of how these issues affected the Yellowstone bison. A.R. 5–6. The Service also dismissed concerns over genomic extinction or climate change as threats. A.R. 14–15. Finally, with respect to the contentions regarding the IBMP and its population target, the Service stated that the IBMP already set separate population targets for the two herds and that maintenance of the two distinct populations </w:t>
      </w:r>
      <w:r>
        <w:rPr>
          <w:rFonts w:ascii="Times New Roman" w:hAnsi="Times New Roman"/>
          <w:color w:val="000000"/>
          <w:sz w:val="20"/>
          <w:szCs w:val="20"/>
        </w:rPr>
        <w:t>might not be crucial for the survival of the species. A.R. 9.</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Buffalo Field Campaign and Western Watershed Project, both of whom filed the First Petition, as well as Friends of Animals (collectively “Buffalo Field”), subsequently filed suit against Secretary of the Interior Ryan Zinke as well as the U.S. Fish and Wildlife Service and its Acting Director Jim Kurth (collectively “the Service”) challenging the Service’s 90–day finding. Compl. ¶ 1. They alleged that the Service’s conclusion was arbitrary and capricious under the Administrative Procedure Act (“APA”) because the Service ignored the plain language of the Endangered Species Act, failed to follow the requirement to make decisions based on the best scientific and commercial data available, and applied an improper evidentiary standard. </w:t>
      </w:r>
      <w:r>
        <w:rPr>
          <w:rFonts w:ascii="Times New Roman" w:hAnsi="Times New Roman"/>
          <w:color w:val="000000"/>
          <w:sz w:val="20"/>
          <w:szCs w:val="20"/>
          <w:u w:val="single"/>
        </w:rPr>
        <w:t>Id.</w:t>
      </w:r>
      <w:r>
        <w:rPr>
          <w:rFonts w:ascii="Times New Roman" w:hAnsi="Times New Roman"/>
          <w:color w:val="000000"/>
          <w:sz w:val="20"/>
          <w:szCs w:val="20"/>
        </w:rPr>
        <w:t xml:space="preserve"> ¶ 6. Buffalo Field and the Service filed cross-motions for summary judgment, and the Court held a hearing on January 18, 2018. After considering the parties’ arguments in their briefs and at the hearing, the Court will grant Buffalo Field’s motion for summary judgment and deny the Service’s.</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101F74">
      <w:pPr>
        <w:widowControl w:val="0"/>
        <w:autoSpaceDE w:val="0"/>
        <w:autoSpaceDN w:val="0"/>
        <w:adjustRightInd w:val="0"/>
        <w:jc w:val="both"/>
        <w:rPr>
          <w:rFonts w:ascii="Times New Roman" w:hAnsi="Times New Roman"/>
          <w:color w:val="000000"/>
          <w:sz w:val="20"/>
          <w:szCs w:val="20"/>
        </w:rPr>
      </w:pPr>
      <w:bookmarkStart w:id="14" w:name="co_anchor_Ic6e22850497d11e8bc75e15fbdd7c"/>
      <w:bookmarkEnd w:id="14"/>
    </w:p>
    <w:p w:rsidR="00101F74" w:rsidRDefault="00E50960">
      <w:pPr>
        <w:widowControl w:val="0"/>
        <w:autoSpaceDE w:val="0"/>
        <w:autoSpaceDN w:val="0"/>
        <w:adjustRightInd w:val="0"/>
        <w:spacing w:before="200"/>
        <w:ind w:left="200"/>
        <w:rPr>
          <w:rFonts w:ascii="Times New Roman" w:hAnsi="Times New Roman"/>
          <w:b/>
          <w:bCs/>
          <w:color w:val="000000"/>
          <w:sz w:val="20"/>
          <w:szCs w:val="20"/>
        </w:rPr>
      </w:pPr>
      <w:r>
        <w:rPr>
          <w:rFonts w:ascii="Times New Roman" w:hAnsi="Times New Roman"/>
          <w:b/>
          <w:bCs/>
          <w:color w:val="000000"/>
          <w:sz w:val="20"/>
          <w:szCs w:val="20"/>
        </w:rPr>
        <w:t>II. Standard of Review</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32043717331_1" w:history="1">
        <w:r w:rsidR="00E50960">
          <w:rPr>
            <w:rFonts w:ascii="Times New Roman" w:hAnsi="Times New Roman"/>
            <w:b/>
            <w:bCs/>
            <w:color w:val="252525"/>
            <w:sz w:val="20"/>
            <w:szCs w:val="20"/>
            <w:vertAlign w:val="superscript"/>
          </w:rPr>
          <w:t>[3]</w:t>
        </w:r>
      </w:hyperlink>
      <w:bookmarkStart w:id="15" w:name="co_anchor_B32043717331_1"/>
      <w:bookmarkEnd w:id="15"/>
      <w:r w:rsidR="00E50960">
        <w:rPr>
          <w:rFonts w:ascii="Times New Roman" w:hAnsi="Times New Roman"/>
          <w:color w:val="000000"/>
          <w:sz w:val="20"/>
          <w:szCs w:val="20"/>
        </w:rPr>
        <w:t xml:space="preserve">“Summary judgment is the proper mechanism for deciding, as a matter of law, whether an agency action is supported by the administrative record and consistent with the APA standard of review.” </w:t>
      </w:r>
      <w:hyperlink r:id="rId25" w:anchor="co_pp_sp_4637_41" w:history="1">
        <w:r w:rsidR="00E50960">
          <w:rPr>
            <w:rFonts w:ascii="Times New Roman" w:hAnsi="Times New Roman"/>
            <w:color w:val="0000FF"/>
            <w:sz w:val="20"/>
            <w:szCs w:val="20"/>
            <w:u w:val="single"/>
          </w:rPr>
          <w:t>Blue Ocean Institute v. Gutierrez</w:t>
        </w:r>
        <w:r w:rsidR="00E50960">
          <w:rPr>
            <w:rFonts w:ascii="Times New Roman" w:hAnsi="Times New Roman"/>
            <w:color w:val="0000FF"/>
            <w:sz w:val="20"/>
            <w:szCs w:val="20"/>
          </w:rPr>
          <w:t>, 585 F.Supp.2d 36, 41 (D.D.C. 2008)</w:t>
        </w:r>
      </w:hyperlink>
      <w:r w:rsidR="00E50960">
        <w:rPr>
          <w:rFonts w:ascii="Times New Roman" w:hAnsi="Times New Roman"/>
          <w:color w:val="000000"/>
          <w:sz w:val="20"/>
          <w:szCs w:val="20"/>
        </w:rPr>
        <w:t>. In evaluating the case on summary judgment, the Court applies the standard of review from the APA.</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42043717331_1" w:history="1">
        <w:r w:rsidR="00E50960">
          <w:rPr>
            <w:rFonts w:ascii="Times New Roman" w:hAnsi="Times New Roman"/>
            <w:b/>
            <w:bCs/>
            <w:color w:val="252525"/>
            <w:sz w:val="20"/>
            <w:szCs w:val="20"/>
            <w:vertAlign w:val="superscript"/>
          </w:rPr>
          <w:t>[4]</w:t>
        </w:r>
      </w:hyperlink>
      <w:bookmarkStart w:id="16" w:name="co_anchor_B42043717331_1"/>
      <w:bookmarkEnd w:id="16"/>
      <w:r w:rsidR="00E50960">
        <w:rPr>
          <w:rFonts w:ascii="Times New Roman" w:hAnsi="Times New Roman"/>
          <w:color w:val="000000"/>
          <w:sz w:val="20"/>
          <w:szCs w:val="20"/>
        </w:rPr>
        <w:t xml:space="preserve"> </w:t>
      </w:r>
      <w:hyperlink w:anchor="co_anchor_F52043717331_1" w:history="1">
        <w:r w:rsidR="00E50960">
          <w:rPr>
            <w:rFonts w:ascii="Times New Roman" w:hAnsi="Times New Roman"/>
            <w:b/>
            <w:bCs/>
            <w:color w:val="252525"/>
            <w:sz w:val="20"/>
            <w:szCs w:val="20"/>
            <w:vertAlign w:val="superscript"/>
          </w:rPr>
          <w:t>[5]</w:t>
        </w:r>
      </w:hyperlink>
      <w:bookmarkStart w:id="17" w:name="co_anchor_B52043717331_1"/>
      <w:bookmarkEnd w:id="17"/>
      <w:r w:rsidR="00E50960">
        <w:rPr>
          <w:rFonts w:ascii="Times New Roman" w:hAnsi="Times New Roman"/>
          <w:color w:val="000000"/>
          <w:sz w:val="20"/>
          <w:szCs w:val="20"/>
        </w:rPr>
        <w:t xml:space="preserve">Under the APA, a court shall hold unlawful and set aside agency action that is arbitrary and capricious, an abuse </w:t>
      </w:r>
      <w:bookmarkStart w:id="18" w:name="co_pp_sp_7903_109_1"/>
      <w:bookmarkEnd w:id="18"/>
      <w:r w:rsidR="00E50960">
        <w:rPr>
          <w:rFonts w:ascii="Times New Roman" w:hAnsi="Times New Roman"/>
          <w:b/>
          <w:bCs/>
          <w:color w:val="000000"/>
          <w:sz w:val="20"/>
          <w:szCs w:val="20"/>
        </w:rPr>
        <w:t>*109</w:t>
      </w:r>
      <w:r w:rsidR="00E50960">
        <w:rPr>
          <w:rFonts w:ascii="Times New Roman" w:hAnsi="Times New Roman"/>
          <w:color w:val="000000"/>
          <w:sz w:val="20"/>
          <w:szCs w:val="20"/>
        </w:rPr>
        <w:t xml:space="preserve"> of discretion, or otherwise not in accordance with the law. </w:t>
      </w:r>
      <w:hyperlink r:id="rId26" w:anchor="co_pp_64eb0000ab9e4" w:history="1">
        <w:r w:rsidR="00E50960">
          <w:rPr>
            <w:rFonts w:ascii="Times New Roman" w:hAnsi="Times New Roman"/>
            <w:color w:val="0000FF"/>
            <w:sz w:val="20"/>
            <w:szCs w:val="20"/>
          </w:rPr>
          <w:t>5 U.S.C. § 706(2)(A)</w:t>
        </w:r>
      </w:hyperlink>
      <w:r w:rsidR="00E50960">
        <w:rPr>
          <w:rFonts w:ascii="Times New Roman" w:hAnsi="Times New Roman"/>
          <w:color w:val="000000"/>
          <w:sz w:val="20"/>
          <w:szCs w:val="20"/>
        </w:rPr>
        <w:t xml:space="preserve">. Agency action is arbitrary and capricious when “the agency has relied on factors which Congress has not intended it to consider, entirely failed to consider an important aspect of the problem, offered an explanation for its decision that runs counter to the evidence before the agency, or is so implausible that it could not be ascribed to a difference in view or the product of agency expertise.” </w:t>
      </w:r>
      <w:hyperlink r:id="rId27" w:history="1">
        <w:r w:rsidR="00E50960">
          <w:rPr>
            <w:rFonts w:ascii="Times New Roman" w:hAnsi="Times New Roman"/>
            <w:color w:val="0000FF"/>
            <w:sz w:val="20"/>
            <w:szCs w:val="20"/>
            <w:u w:val="single"/>
          </w:rPr>
          <w:t>Motor Vehicle Mfrs. Ass’n of U.S., Inc. v. State Farm Mut. Auto. Ins. Co.</w:t>
        </w:r>
        <w:r w:rsidR="00E50960">
          <w:rPr>
            <w:rFonts w:ascii="Times New Roman" w:hAnsi="Times New Roman"/>
            <w:color w:val="0000FF"/>
            <w:sz w:val="20"/>
            <w:szCs w:val="20"/>
          </w:rPr>
          <w:t>, 463 U.S. 29, 43, 103 S.Ct. 2856, 77 L.Ed.2d 443 (1983)</w:t>
        </w:r>
      </w:hyperlink>
      <w:r w:rsidR="00E50960">
        <w:rPr>
          <w:rFonts w:ascii="Times New Roman" w:hAnsi="Times New Roman"/>
          <w:color w:val="000000"/>
          <w:sz w:val="20"/>
          <w:szCs w:val="20"/>
        </w:rPr>
        <w:t xml:space="preserve">. An agency’s decision is an abuse of discretion if the agency has applied an incorrect legal standard in making its decision. </w:t>
      </w:r>
      <w:r w:rsidR="00E50960">
        <w:rPr>
          <w:rFonts w:ascii="Times New Roman" w:hAnsi="Times New Roman"/>
          <w:color w:val="000000"/>
          <w:sz w:val="20"/>
          <w:szCs w:val="20"/>
          <w:u w:val="single"/>
        </w:rPr>
        <w:t>See</w:t>
      </w:r>
      <w:r w:rsidR="00E50960">
        <w:rPr>
          <w:rFonts w:ascii="Times New Roman" w:hAnsi="Times New Roman"/>
          <w:color w:val="000000"/>
          <w:sz w:val="20"/>
          <w:szCs w:val="20"/>
        </w:rPr>
        <w:t xml:space="preserve"> </w:t>
      </w:r>
      <w:hyperlink r:id="rId28" w:anchor="co_pp_sp_506_114" w:history="1">
        <w:r w:rsidR="00E50960">
          <w:rPr>
            <w:rFonts w:ascii="Times New Roman" w:hAnsi="Times New Roman"/>
            <w:color w:val="0000FF"/>
            <w:sz w:val="20"/>
            <w:szCs w:val="20"/>
            <w:u w:val="single"/>
          </w:rPr>
          <w:t>Price v. District of Columbia</w:t>
        </w:r>
        <w:r w:rsidR="00E50960">
          <w:rPr>
            <w:rFonts w:ascii="Times New Roman" w:hAnsi="Times New Roman"/>
            <w:color w:val="0000FF"/>
            <w:sz w:val="20"/>
            <w:szCs w:val="20"/>
          </w:rPr>
          <w:t>, 792 F.3d 112, 114 (D.C. Cir. 2015)</w:t>
        </w:r>
      </w:hyperlink>
      <w:r w:rsidR="00E50960">
        <w:rPr>
          <w:rFonts w:ascii="Times New Roman" w:hAnsi="Times New Roman"/>
          <w:color w:val="000000"/>
          <w:sz w:val="20"/>
          <w:szCs w:val="20"/>
        </w:rPr>
        <w:t xml:space="preserve"> (“An abuse of discretion occurs by definition when the court does not apply the correct legal standard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62043717331_1" w:history="1">
        <w:r w:rsidR="00E50960">
          <w:rPr>
            <w:rFonts w:ascii="Times New Roman" w:hAnsi="Times New Roman"/>
            <w:b/>
            <w:bCs/>
            <w:color w:val="252525"/>
            <w:sz w:val="20"/>
            <w:szCs w:val="20"/>
            <w:vertAlign w:val="superscript"/>
          </w:rPr>
          <w:t>[6]</w:t>
        </w:r>
      </w:hyperlink>
      <w:bookmarkStart w:id="19" w:name="co_anchor_B62043717331_1"/>
      <w:bookmarkEnd w:id="19"/>
      <w:r w:rsidR="00E50960">
        <w:rPr>
          <w:rFonts w:ascii="Times New Roman" w:hAnsi="Times New Roman"/>
          <w:color w:val="000000"/>
          <w:sz w:val="20"/>
          <w:szCs w:val="20"/>
        </w:rPr>
        <w:t xml:space="preserve"> </w:t>
      </w:r>
      <w:hyperlink w:anchor="co_anchor_F72043717331_1" w:history="1">
        <w:r w:rsidR="00E50960">
          <w:rPr>
            <w:rFonts w:ascii="Times New Roman" w:hAnsi="Times New Roman"/>
            <w:b/>
            <w:bCs/>
            <w:color w:val="252525"/>
            <w:sz w:val="20"/>
            <w:szCs w:val="20"/>
            <w:vertAlign w:val="superscript"/>
          </w:rPr>
          <w:t>[7]</w:t>
        </w:r>
      </w:hyperlink>
      <w:bookmarkStart w:id="20" w:name="co_anchor_B72043717331_1"/>
      <w:bookmarkEnd w:id="20"/>
      <w:r w:rsidR="00E50960">
        <w:rPr>
          <w:rFonts w:ascii="Times New Roman" w:hAnsi="Times New Roman"/>
          <w:color w:val="000000"/>
          <w:sz w:val="20"/>
          <w:szCs w:val="20"/>
        </w:rPr>
        <w:t xml:space="preserve">The scope of review under the arbitrary and </w:t>
      </w:r>
      <w:r w:rsidR="00E50960">
        <w:rPr>
          <w:rFonts w:ascii="Times New Roman" w:hAnsi="Times New Roman"/>
          <w:color w:val="000000"/>
          <w:sz w:val="20"/>
          <w:szCs w:val="20"/>
        </w:rPr>
        <w:lastRenderedPageBreak/>
        <w:t xml:space="preserve">capricious standard is “narrow,” and the Court “is not to substitute its judgment for that of the agency.” </w:t>
      </w:r>
      <w:hyperlink r:id="rId29" w:history="1">
        <w:r w:rsidR="00E50960">
          <w:rPr>
            <w:rFonts w:ascii="Times New Roman" w:hAnsi="Times New Roman"/>
            <w:color w:val="0000FF"/>
            <w:sz w:val="20"/>
            <w:szCs w:val="20"/>
            <w:u w:val="single"/>
          </w:rPr>
          <w:t>Motor Vehicle Mfrs.</w:t>
        </w:r>
        <w:r w:rsidR="00E50960">
          <w:rPr>
            <w:rFonts w:ascii="Times New Roman" w:hAnsi="Times New Roman"/>
            <w:color w:val="0000FF"/>
            <w:sz w:val="20"/>
            <w:szCs w:val="20"/>
          </w:rPr>
          <w:t>, 463 U.S. at 43, 103 S.Ct. 2856</w:t>
        </w:r>
      </w:hyperlink>
      <w:r w:rsidR="00E50960">
        <w:rPr>
          <w:rFonts w:ascii="Times New Roman" w:hAnsi="Times New Roman"/>
          <w:color w:val="000000"/>
          <w:sz w:val="20"/>
          <w:szCs w:val="20"/>
        </w:rPr>
        <w:t xml:space="preserve">. Additionally, the Court is confined to the administrative record in conducting its review. </w:t>
      </w:r>
      <w:r w:rsidR="00E50960">
        <w:rPr>
          <w:rFonts w:ascii="Times New Roman" w:hAnsi="Times New Roman"/>
          <w:color w:val="000000"/>
          <w:sz w:val="20"/>
          <w:szCs w:val="20"/>
          <w:u w:val="single"/>
        </w:rPr>
        <w:t>See, e.g.</w:t>
      </w:r>
      <w:r w:rsidR="00E50960">
        <w:rPr>
          <w:rFonts w:ascii="Times New Roman" w:hAnsi="Times New Roman"/>
          <w:color w:val="000000"/>
          <w:sz w:val="20"/>
          <w:szCs w:val="20"/>
        </w:rPr>
        <w:t xml:space="preserve">, </w:t>
      </w:r>
      <w:hyperlink r:id="rId30" w:anchor="co_pp_sp_4637_78" w:history="1">
        <w:r w:rsidR="00E50960">
          <w:rPr>
            <w:rFonts w:ascii="Times New Roman" w:hAnsi="Times New Roman"/>
            <w:color w:val="0000FF"/>
            <w:sz w:val="20"/>
            <w:szCs w:val="20"/>
            <w:u w:val="single"/>
          </w:rPr>
          <w:t>Marcum v. Salazar</w:t>
        </w:r>
        <w:r w:rsidR="00E50960">
          <w:rPr>
            <w:rFonts w:ascii="Times New Roman" w:hAnsi="Times New Roman"/>
            <w:color w:val="0000FF"/>
            <w:sz w:val="20"/>
            <w:szCs w:val="20"/>
          </w:rPr>
          <w:t>, 751 F.Supp.2d 74, 78 (D.D.C. 2010)</w:t>
        </w:r>
      </w:hyperlink>
      <w:r w:rsidR="00E50960">
        <w:rPr>
          <w:rFonts w:ascii="Times New Roman" w:hAnsi="Times New Roman"/>
          <w:color w:val="000000"/>
          <w:sz w:val="20"/>
          <w:szCs w:val="20"/>
        </w:rPr>
        <w:t>.</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101F74">
      <w:pPr>
        <w:widowControl w:val="0"/>
        <w:autoSpaceDE w:val="0"/>
        <w:autoSpaceDN w:val="0"/>
        <w:adjustRightInd w:val="0"/>
        <w:jc w:val="both"/>
        <w:rPr>
          <w:rFonts w:ascii="Times New Roman" w:hAnsi="Times New Roman"/>
          <w:color w:val="000000"/>
          <w:sz w:val="20"/>
          <w:szCs w:val="20"/>
        </w:rPr>
      </w:pPr>
      <w:bookmarkStart w:id="21" w:name="co_anchor_Ic6e4c060497d11e8bc75e15fbdd7c"/>
      <w:bookmarkEnd w:id="21"/>
    </w:p>
    <w:p w:rsidR="00101F74" w:rsidRDefault="00E50960">
      <w:pPr>
        <w:widowControl w:val="0"/>
        <w:autoSpaceDE w:val="0"/>
        <w:autoSpaceDN w:val="0"/>
        <w:adjustRightInd w:val="0"/>
        <w:spacing w:before="200"/>
        <w:ind w:left="200"/>
        <w:rPr>
          <w:rFonts w:ascii="Times New Roman" w:hAnsi="Times New Roman"/>
          <w:b/>
          <w:bCs/>
          <w:color w:val="000000"/>
          <w:sz w:val="20"/>
          <w:szCs w:val="20"/>
        </w:rPr>
      </w:pPr>
      <w:r>
        <w:rPr>
          <w:rFonts w:ascii="Times New Roman" w:hAnsi="Times New Roman"/>
          <w:b/>
          <w:bCs/>
          <w:color w:val="000000"/>
          <w:sz w:val="20"/>
          <w:szCs w:val="20"/>
        </w:rPr>
        <w:t>III. Analysis</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Buffalo Field contends that the Service’s 90–day finding is arbitrary and capricious because the Service (1) applied the incorrect evidentiary standard for a 90–day finding, (2) did not apply the best available science standard, and (3) failed to consider or otherwise ignored evidence indicating that the bison are threatened or endangered. </w:t>
      </w:r>
      <w:r>
        <w:rPr>
          <w:rFonts w:ascii="Times New Roman" w:hAnsi="Times New Roman"/>
          <w:color w:val="000000"/>
          <w:sz w:val="20"/>
          <w:szCs w:val="20"/>
          <w:u w:val="single"/>
        </w:rPr>
        <w:t>See generally</w:t>
      </w:r>
      <w:r>
        <w:rPr>
          <w:rFonts w:ascii="Times New Roman" w:hAnsi="Times New Roman"/>
          <w:color w:val="000000"/>
          <w:sz w:val="20"/>
          <w:szCs w:val="20"/>
        </w:rPr>
        <w:t xml:space="preserve"> Mem. P. &amp; A. Supp. Pls.’ Mot. Summ. J. (“Buffalo Field MSJ”). Because the Court agrees that the Service failed to apply the proper standard for a 90–day finding, summary judgment is appropriate for Buffalo Field.</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101F74">
      <w:pPr>
        <w:widowControl w:val="0"/>
        <w:autoSpaceDE w:val="0"/>
        <w:autoSpaceDN w:val="0"/>
        <w:adjustRightInd w:val="0"/>
        <w:jc w:val="both"/>
        <w:rPr>
          <w:rFonts w:ascii="Times New Roman" w:hAnsi="Times New Roman"/>
          <w:color w:val="000000"/>
          <w:sz w:val="20"/>
          <w:szCs w:val="20"/>
        </w:rPr>
      </w:pPr>
      <w:bookmarkStart w:id="22" w:name="co_anchor_Ic7042f40497d11e8bc75e15fbdd7c"/>
      <w:bookmarkEnd w:id="22"/>
    </w:p>
    <w:p w:rsidR="00101F74" w:rsidRDefault="00E50960">
      <w:pPr>
        <w:widowControl w:val="0"/>
        <w:autoSpaceDE w:val="0"/>
        <w:autoSpaceDN w:val="0"/>
        <w:adjustRightInd w:val="0"/>
        <w:spacing w:before="400" w:after="200"/>
        <w:jc w:val="center"/>
        <w:rPr>
          <w:rFonts w:ascii="Times New Roman" w:hAnsi="Times New Roman"/>
          <w:color w:val="000000"/>
          <w:sz w:val="20"/>
          <w:szCs w:val="20"/>
          <w:u w:val="single"/>
        </w:rPr>
      </w:pPr>
      <w:r>
        <w:rPr>
          <w:rFonts w:ascii="Times New Roman" w:hAnsi="Times New Roman"/>
          <w:color w:val="000000"/>
          <w:sz w:val="20"/>
          <w:szCs w:val="20"/>
        </w:rPr>
        <w:t xml:space="preserve">A. </w:t>
      </w:r>
      <w:r>
        <w:rPr>
          <w:rFonts w:ascii="Times New Roman" w:hAnsi="Times New Roman"/>
          <w:color w:val="000000"/>
          <w:sz w:val="20"/>
          <w:szCs w:val="20"/>
          <w:u w:val="single"/>
        </w:rPr>
        <w:t>Whether the Service applied the proper standard for a 90–day finding.</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82043717331_1" w:history="1">
        <w:r w:rsidR="00E50960">
          <w:rPr>
            <w:rFonts w:ascii="Times New Roman" w:hAnsi="Times New Roman"/>
            <w:b/>
            <w:bCs/>
            <w:color w:val="252525"/>
            <w:sz w:val="20"/>
            <w:szCs w:val="20"/>
            <w:vertAlign w:val="superscript"/>
          </w:rPr>
          <w:t>[8]</w:t>
        </w:r>
      </w:hyperlink>
      <w:bookmarkStart w:id="23" w:name="co_anchor_B82043717331_1"/>
      <w:bookmarkEnd w:id="23"/>
      <w:r w:rsidR="00E50960">
        <w:rPr>
          <w:rFonts w:ascii="Times New Roman" w:hAnsi="Times New Roman"/>
          <w:color w:val="000000"/>
          <w:sz w:val="20"/>
          <w:szCs w:val="20"/>
        </w:rPr>
        <w:t xml:space="preserve">Buffalo Field argues that the Service’s determination is arbitrary and capricious because the Service applied an improperly heightened evidentiary standard to its petition. As evidence of this, Buffalo Field points to the 90–day finding’s reliance on the study on the two distinct subpopulations of bison by Patrick J. White and Richard L. Wallen—which argued that the distinct populations were artificially created and thus should not be maintained separately—over that by Natalie D. Halbert et al.—which argued for a change in management based on the existence of two separate genetic herds. Buffalo Field MSJ at 1. Additionally, it points to internal Service documents from the reviewing and drafting process that it argues further illustrate an improper standard was applied. </w:t>
      </w:r>
      <w:r w:rsidR="00E50960">
        <w:rPr>
          <w:rFonts w:ascii="Times New Roman" w:hAnsi="Times New Roman"/>
          <w:color w:val="000000"/>
          <w:sz w:val="20"/>
          <w:szCs w:val="20"/>
          <w:u w:val="single"/>
        </w:rPr>
        <w:t>Id.</w:t>
      </w:r>
      <w:r w:rsidR="00E50960">
        <w:rPr>
          <w:rFonts w:ascii="Times New Roman" w:hAnsi="Times New Roman"/>
          <w:color w:val="000000"/>
          <w:sz w:val="20"/>
          <w:szCs w:val="20"/>
        </w:rPr>
        <w:t xml:space="preserve"> at 21–23.</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92043717331_1" w:history="1">
        <w:r w:rsidR="00E50960">
          <w:rPr>
            <w:rFonts w:ascii="Times New Roman" w:hAnsi="Times New Roman"/>
            <w:b/>
            <w:bCs/>
            <w:color w:val="252525"/>
            <w:sz w:val="20"/>
            <w:szCs w:val="20"/>
            <w:vertAlign w:val="superscript"/>
          </w:rPr>
          <w:t>[9]</w:t>
        </w:r>
      </w:hyperlink>
      <w:bookmarkStart w:id="24" w:name="co_anchor_B92043717331_1"/>
      <w:bookmarkEnd w:id="24"/>
      <w:r w:rsidR="00E50960">
        <w:rPr>
          <w:rFonts w:ascii="Times New Roman" w:hAnsi="Times New Roman"/>
          <w:color w:val="000000"/>
          <w:sz w:val="20"/>
          <w:szCs w:val="20"/>
        </w:rPr>
        <w:t xml:space="preserve"> </w:t>
      </w:r>
      <w:hyperlink w:anchor="co_anchor_F102043717331_1" w:history="1">
        <w:r w:rsidR="00E50960">
          <w:rPr>
            <w:rFonts w:ascii="Times New Roman" w:hAnsi="Times New Roman"/>
            <w:b/>
            <w:bCs/>
            <w:color w:val="252525"/>
            <w:sz w:val="20"/>
            <w:szCs w:val="20"/>
            <w:vertAlign w:val="superscript"/>
          </w:rPr>
          <w:t>[10]</w:t>
        </w:r>
      </w:hyperlink>
      <w:bookmarkStart w:id="25" w:name="co_anchor_B102043717331_1"/>
      <w:bookmarkEnd w:id="25"/>
      <w:r w:rsidR="00E50960">
        <w:rPr>
          <w:rFonts w:ascii="Times New Roman" w:hAnsi="Times New Roman"/>
          <w:color w:val="000000"/>
          <w:sz w:val="20"/>
          <w:szCs w:val="20"/>
        </w:rPr>
        <w:t xml:space="preserve"> </w:t>
      </w:r>
      <w:hyperlink w:anchor="co_anchor_F112043717331_1" w:history="1">
        <w:r w:rsidR="00E50960">
          <w:rPr>
            <w:rFonts w:ascii="Times New Roman" w:hAnsi="Times New Roman"/>
            <w:b/>
            <w:bCs/>
            <w:color w:val="252525"/>
            <w:sz w:val="20"/>
            <w:szCs w:val="20"/>
            <w:vertAlign w:val="superscript"/>
          </w:rPr>
          <w:t>[11]</w:t>
        </w:r>
      </w:hyperlink>
      <w:bookmarkStart w:id="26" w:name="co_anchor_B112043717331_1"/>
      <w:bookmarkEnd w:id="26"/>
      <w:r w:rsidR="00E50960">
        <w:rPr>
          <w:rFonts w:ascii="Times New Roman" w:hAnsi="Times New Roman"/>
          <w:color w:val="000000"/>
          <w:sz w:val="20"/>
          <w:szCs w:val="20"/>
        </w:rPr>
        <w:t xml:space="preserve">As other district courts have explained, “[a]t the 90–day stage, the question is not whether the designation </w:t>
      </w:r>
      <w:r w:rsidR="00E50960">
        <w:rPr>
          <w:rFonts w:ascii="Times New Roman" w:hAnsi="Times New Roman"/>
          <w:i/>
          <w:iCs/>
          <w:color w:val="000000"/>
          <w:sz w:val="20"/>
          <w:szCs w:val="20"/>
        </w:rPr>
        <w:t>is</w:t>
      </w:r>
      <w:r w:rsidR="00E50960">
        <w:rPr>
          <w:rFonts w:ascii="Times New Roman" w:hAnsi="Times New Roman"/>
          <w:color w:val="000000"/>
          <w:sz w:val="20"/>
          <w:szCs w:val="20"/>
        </w:rPr>
        <w:t xml:space="preserve"> warranted, only whether it </w:t>
      </w:r>
      <w:r w:rsidR="00E50960">
        <w:rPr>
          <w:rFonts w:ascii="Times New Roman" w:hAnsi="Times New Roman"/>
          <w:i/>
          <w:iCs/>
          <w:color w:val="000000"/>
          <w:sz w:val="20"/>
          <w:szCs w:val="20"/>
        </w:rPr>
        <w:t>may</w:t>
      </w:r>
      <w:r w:rsidR="00E50960">
        <w:rPr>
          <w:rFonts w:ascii="Times New Roman" w:hAnsi="Times New Roman"/>
          <w:color w:val="000000"/>
          <w:sz w:val="20"/>
          <w:szCs w:val="20"/>
        </w:rPr>
        <w:t xml:space="preserve"> be.” </w:t>
      </w:r>
      <w:hyperlink r:id="rId31" w:history="1">
        <w:r w:rsidR="00E50960">
          <w:rPr>
            <w:rFonts w:ascii="Times New Roman" w:hAnsi="Times New Roman"/>
            <w:color w:val="0000FF"/>
            <w:sz w:val="20"/>
            <w:szCs w:val="20"/>
            <w:u w:val="single"/>
          </w:rPr>
          <w:t>Center for Biological Diversity v. Kempthorne</w:t>
        </w:r>
        <w:r w:rsidR="00E50960">
          <w:rPr>
            <w:rFonts w:ascii="Times New Roman" w:hAnsi="Times New Roman"/>
            <w:color w:val="0000FF"/>
            <w:sz w:val="20"/>
            <w:szCs w:val="20"/>
          </w:rPr>
          <w:t>, 2007 WL 163244, at *7 (N.D. Cal. Jan. 19, 2007)</w:t>
        </w:r>
      </w:hyperlink>
      <w:r w:rsidR="00E50960">
        <w:rPr>
          <w:rFonts w:ascii="Times New Roman" w:hAnsi="Times New Roman"/>
          <w:color w:val="000000"/>
          <w:sz w:val="20"/>
          <w:szCs w:val="20"/>
        </w:rPr>
        <w:t xml:space="preserve">. It follows that “the standard requiring consideration of whether a ‘reasonable person’ would conclude that action ‘may be warranted’ contemplates that where there is disagreement among reasonable scientists, the Service should make the ‘may be warranted’ finding.” </w:t>
      </w:r>
      <w:hyperlink r:id="rId32" w:history="1">
        <w:r w:rsidR="00E50960">
          <w:rPr>
            <w:rFonts w:ascii="Times New Roman" w:hAnsi="Times New Roman"/>
            <w:color w:val="0000FF"/>
            <w:sz w:val="20"/>
            <w:szCs w:val="20"/>
            <w:u w:val="single"/>
          </w:rPr>
          <w:t>Id.</w:t>
        </w:r>
      </w:hyperlink>
      <w:r w:rsidR="00E50960">
        <w:rPr>
          <w:rFonts w:ascii="Times New Roman" w:hAnsi="Times New Roman"/>
          <w:color w:val="000000"/>
          <w:sz w:val="20"/>
          <w:szCs w:val="20"/>
        </w:rPr>
        <w:t xml:space="preserve">; </w:t>
      </w:r>
      <w:r w:rsidR="00E50960">
        <w:rPr>
          <w:rFonts w:ascii="Times New Roman" w:hAnsi="Times New Roman"/>
          <w:color w:val="000000"/>
          <w:sz w:val="20"/>
          <w:szCs w:val="20"/>
          <w:u w:val="single"/>
        </w:rPr>
        <w:t>see also</w:t>
      </w:r>
      <w:r w:rsidR="00E50960">
        <w:rPr>
          <w:rFonts w:ascii="Times New Roman" w:hAnsi="Times New Roman"/>
          <w:color w:val="000000"/>
          <w:sz w:val="20"/>
          <w:szCs w:val="20"/>
        </w:rPr>
        <w:t xml:space="preserve"> </w:t>
      </w:r>
      <w:hyperlink r:id="rId33" w:history="1">
        <w:r w:rsidR="00E50960">
          <w:rPr>
            <w:rFonts w:ascii="Times New Roman" w:hAnsi="Times New Roman"/>
            <w:color w:val="0000FF"/>
            <w:sz w:val="20"/>
            <w:szCs w:val="20"/>
            <w:u w:val="single"/>
          </w:rPr>
          <w:t>McCrary</w:t>
        </w:r>
        <w:r w:rsidR="00E50960">
          <w:rPr>
            <w:rFonts w:ascii="Times New Roman" w:hAnsi="Times New Roman"/>
            <w:color w:val="0000FF"/>
            <w:sz w:val="20"/>
            <w:szCs w:val="20"/>
          </w:rPr>
          <w:t>, 2010 WL 520762, at *6</w:t>
        </w:r>
      </w:hyperlink>
      <w:r w:rsidR="00E50960">
        <w:rPr>
          <w:rFonts w:ascii="Times New Roman" w:hAnsi="Times New Roman"/>
          <w:color w:val="000000"/>
          <w:sz w:val="20"/>
          <w:szCs w:val="20"/>
        </w:rPr>
        <w:t xml:space="preserve">; </w:t>
      </w:r>
      <w:hyperlink r:id="rId34" w:history="1">
        <w:r w:rsidR="00E50960">
          <w:rPr>
            <w:rFonts w:ascii="Times New Roman" w:hAnsi="Times New Roman"/>
            <w:color w:val="0000FF"/>
            <w:sz w:val="20"/>
            <w:szCs w:val="20"/>
            <w:u w:val="single"/>
          </w:rPr>
          <w:t xml:space="preserve">Center for Biological Diversity v. </w:t>
        </w:r>
        <w:r w:rsidR="00E50960">
          <w:rPr>
            <w:rFonts w:ascii="Times New Roman" w:hAnsi="Times New Roman"/>
            <w:color w:val="0000FF"/>
            <w:sz w:val="20"/>
            <w:szCs w:val="20"/>
            <w:u w:val="single"/>
          </w:rPr>
          <w:t>Kempthorne</w:t>
        </w:r>
        <w:r w:rsidR="00E50960">
          <w:rPr>
            <w:rFonts w:ascii="Times New Roman" w:hAnsi="Times New Roman"/>
            <w:color w:val="0000FF"/>
            <w:sz w:val="20"/>
            <w:szCs w:val="20"/>
          </w:rPr>
          <w:t>, 2008 WL 659822, at *12 (D. Ariz. March 6, 2008)</w:t>
        </w:r>
      </w:hyperlink>
      <w:r w:rsidR="00E50960">
        <w:rPr>
          <w:rFonts w:ascii="Times New Roman" w:hAnsi="Times New Roman"/>
          <w:color w:val="000000"/>
          <w:sz w:val="20"/>
          <w:szCs w:val="20"/>
        </w:rPr>
        <w:t xml:space="preserve">. After all, if reasonable scientists disagree—and one of those positions would indicate listing is warranted—a reasonable person could choose to agree with the scientist who supports the petition and, as a result, that listing may be warranted. At the hearing, the Service did not contest </w:t>
      </w:r>
      <w:bookmarkStart w:id="27" w:name="co_pp_sp_7903_110_1"/>
      <w:bookmarkEnd w:id="27"/>
      <w:r w:rsidR="00E50960">
        <w:rPr>
          <w:rFonts w:ascii="Times New Roman" w:hAnsi="Times New Roman"/>
          <w:b/>
          <w:bCs/>
          <w:color w:val="000000"/>
          <w:sz w:val="20"/>
          <w:szCs w:val="20"/>
        </w:rPr>
        <w:t>*110</w:t>
      </w:r>
      <w:r w:rsidR="00E50960">
        <w:rPr>
          <w:rFonts w:ascii="Times New Roman" w:hAnsi="Times New Roman"/>
          <w:color w:val="000000"/>
          <w:sz w:val="20"/>
          <w:szCs w:val="20"/>
        </w:rPr>
        <w:t xml:space="preserve"> that this is the proper standard for a 90–day hearing.</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122043717331_1" w:history="1">
        <w:r w:rsidR="00E50960">
          <w:rPr>
            <w:rFonts w:ascii="Times New Roman" w:hAnsi="Times New Roman"/>
            <w:b/>
            <w:bCs/>
            <w:color w:val="252525"/>
            <w:sz w:val="20"/>
            <w:szCs w:val="20"/>
            <w:vertAlign w:val="superscript"/>
          </w:rPr>
          <w:t>[12]</w:t>
        </w:r>
      </w:hyperlink>
      <w:bookmarkStart w:id="28" w:name="co_anchor_B122043717331_1"/>
      <w:bookmarkEnd w:id="28"/>
      <w:r w:rsidR="00E50960">
        <w:rPr>
          <w:rFonts w:ascii="Times New Roman" w:hAnsi="Times New Roman"/>
          <w:color w:val="000000"/>
          <w:sz w:val="20"/>
          <w:szCs w:val="20"/>
        </w:rPr>
        <w:t xml:space="preserve">It naturally follows that the 90–day standard does not allow the Service to simply discount scientific studies that support the petition or to resolve reasonable extant scientific disputes against the petition. Unless the Service explains why the scientific studies that the petition cites are unreliable, irrelevant, or otherwise unreasonable to credit, the Service must credit the evidence presented. </w:t>
      </w:r>
      <w:r w:rsidR="00E50960">
        <w:rPr>
          <w:rFonts w:ascii="Times New Roman" w:hAnsi="Times New Roman"/>
          <w:color w:val="000000"/>
          <w:sz w:val="20"/>
          <w:szCs w:val="20"/>
          <w:u w:val="single"/>
        </w:rPr>
        <w:t>See</w:t>
      </w:r>
      <w:r w:rsidR="00E50960">
        <w:rPr>
          <w:rFonts w:ascii="Times New Roman" w:hAnsi="Times New Roman"/>
          <w:color w:val="000000"/>
          <w:sz w:val="20"/>
          <w:szCs w:val="20"/>
        </w:rPr>
        <w:t xml:space="preserve"> </w:t>
      </w:r>
      <w:hyperlink r:id="rId35" w:anchor="co_pp_sp_7903_14" w:history="1">
        <w:r w:rsidR="00E50960">
          <w:rPr>
            <w:rFonts w:ascii="Times New Roman" w:hAnsi="Times New Roman"/>
            <w:color w:val="0000FF"/>
            <w:sz w:val="20"/>
            <w:szCs w:val="20"/>
            <w:u w:val="single"/>
          </w:rPr>
          <w:t>Pritzker</w:t>
        </w:r>
        <w:r w:rsidR="00E50960">
          <w:rPr>
            <w:rFonts w:ascii="Times New Roman" w:hAnsi="Times New Roman"/>
            <w:color w:val="0000FF"/>
            <w:sz w:val="20"/>
            <w:szCs w:val="20"/>
          </w:rPr>
          <w:t>, 75 F.Supp.3d at 14</w:t>
        </w:r>
      </w:hyperlink>
      <w:r w:rsidR="00E50960">
        <w:rPr>
          <w:rFonts w:ascii="Times New Roman" w:hAnsi="Times New Roman"/>
          <w:color w:val="000000"/>
          <w:sz w:val="20"/>
          <w:szCs w:val="20"/>
        </w:rPr>
        <w:t xml:space="preserve">; </w:t>
      </w:r>
      <w:r w:rsidR="00E50960">
        <w:rPr>
          <w:rFonts w:ascii="Times New Roman" w:hAnsi="Times New Roman"/>
          <w:color w:val="000000"/>
          <w:sz w:val="20"/>
          <w:szCs w:val="20"/>
          <w:u w:val="single"/>
        </w:rPr>
        <w:t>cf.</w:t>
      </w:r>
      <w:r w:rsidR="00E50960">
        <w:rPr>
          <w:rFonts w:ascii="Times New Roman" w:hAnsi="Times New Roman"/>
          <w:color w:val="000000"/>
          <w:sz w:val="20"/>
          <w:szCs w:val="20"/>
        </w:rPr>
        <w:t xml:space="preserve"> </w:t>
      </w:r>
      <w:hyperlink r:id="rId36" w:anchor="co_pp_sp_4637_1142" w:history="1">
        <w:r w:rsidR="00E50960">
          <w:rPr>
            <w:rFonts w:ascii="Times New Roman" w:hAnsi="Times New Roman"/>
            <w:color w:val="0000FF"/>
            <w:sz w:val="20"/>
            <w:szCs w:val="20"/>
            <w:u w:val="single"/>
          </w:rPr>
          <w:t>Morgenweck</w:t>
        </w:r>
        <w:r w:rsidR="00E50960">
          <w:rPr>
            <w:rFonts w:ascii="Times New Roman" w:hAnsi="Times New Roman"/>
            <w:color w:val="0000FF"/>
            <w:sz w:val="20"/>
            <w:szCs w:val="20"/>
          </w:rPr>
          <w:t>, 351 F.Supp.2d at 1142</w:t>
        </w:r>
      </w:hyperlink>
      <w:r w:rsidR="00E50960">
        <w:rPr>
          <w:rFonts w:ascii="Times New Roman" w:hAnsi="Times New Roman"/>
          <w:color w:val="000000"/>
          <w:sz w:val="20"/>
          <w:szCs w:val="20"/>
        </w:rPr>
        <w:t xml:space="preserve"> (the Service need not “blindly accept statements in petitions that constitute unscientific data or conclusions, [or] information FWS knows to be obsolete”). In other words, if two pieces of scientific evidence conflict, the Service must credit the supporting evidence unless that evidence is unreliable, irrelevant, or otherwise unreasonable to credit.</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This case presents a relatively straightforward example of such a scientific dispute. In their paper, Halbert et al. argue that there are two genetically distinct subpopulations of bison in Yellowstone and that this conclusion undermines the current management practices (and population levels) for the bison. </w:t>
      </w:r>
      <w:r>
        <w:rPr>
          <w:rFonts w:ascii="Times New Roman" w:hAnsi="Times New Roman"/>
          <w:color w:val="000000"/>
          <w:sz w:val="20"/>
          <w:szCs w:val="20"/>
          <w:u w:val="single"/>
        </w:rPr>
        <w:t>See</w:t>
      </w:r>
      <w:r>
        <w:rPr>
          <w:rFonts w:ascii="Times New Roman" w:hAnsi="Times New Roman"/>
          <w:color w:val="000000"/>
          <w:sz w:val="20"/>
          <w:szCs w:val="20"/>
        </w:rPr>
        <w:t xml:space="preserve"> A.R. 721. Put another way, Halbert’s study calls into question the 3,000 bison population target set by the IBMP for the entire herd by indicating that the two herds—Central and Northern—each need a population that is large enough to ensure that herd’s individual survival. Since other studies have suggested that around 3,000 bison are needed to ensure a herd’s survival, </w:t>
      </w:r>
      <w:r>
        <w:rPr>
          <w:rFonts w:ascii="Times New Roman" w:hAnsi="Times New Roman"/>
          <w:color w:val="000000"/>
          <w:sz w:val="20"/>
          <w:szCs w:val="20"/>
          <w:u w:val="single"/>
        </w:rPr>
        <w:t>see</w:t>
      </w:r>
      <w:r>
        <w:rPr>
          <w:rFonts w:ascii="Times New Roman" w:hAnsi="Times New Roman"/>
          <w:color w:val="000000"/>
          <w:sz w:val="20"/>
          <w:szCs w:val="20"/>
        </w:rPr>
        <w:t xml:space="preserve"> A.R. 688, 1269, this suggests that the 3,000 bison population target for </w:t>
      </w:r>
      <w:r>
        <w:rPr>
          <w:rFonts w:ascii="Times New Roman" w:hAnsi="Times New Roman"/>
          <w:i/>
          <w:iCs/>
          <w:color w:val="000000"/>
          <w:sz w:val="20"/>
          <w:szCs w:val="20"/>
        </w:rPr>
        <w:t>both</w:t>
      </w:r>
      <w:r>
        <w:rPr>
          <w:rFonts w:ascii="Times New Roman" w:hAnsi="Times New Roman"/>
          <w:color w:val="000000"/>
          <w:sz w:val="20"/>
          <w:szCs w:val="20"/>
        </w:rPr>
        <w:t xml:space="preserve"> herds is too low to ensure that </w:t>
      </w:r>
      <w:r>
        <w:rPr>
          <w:rFonts w:ascii="Times New Roman" w:hAnsi="Times New Roman"/>
          <w:i/>
          <w:iCs/>
          <w:color w:val="000000"/>
          <w:sz w:val="20"/>
          <w:szCs w:val="20"/>
        </w:rPr>
        <w:t>each</w:t>
      </w:r>
      <w:r>
        <w:rPr>
          <w:rFonts w:ascii="Times New Roman" w:hAnsi="Times New Roman"/>
          <w:color w:val="000000"/>
          <w:sz w:val="20"/>
          <w:szCs w:val="20"/>
        </w:rPr>
        <w:t xml:space="preserve"> herd will survive. In contrast, White and Wallen argue that the two subpopulations are artificially created and management practices should not attempt to maintain them—thereby indicating that the current target is sufficient and that any hazing or culling to reduce population levels to that number is not a threat to the species’ survival. </w:t>
      </w:r>
      <w:r>
        <w:rPr>
          <w:rFonts w:ascii="Times New Roman" w:hAnsi="Times New Roman"/>
          <w:color w:val="000000"/>
          <w:sz w:val="20"/>
          <w:szCs w:val="20"/>
          <w:u w:val="single"/>
        </w:rPr>
        <w:t>See</w:t>
      </w:r>
      <w:r>
        <w:rPr>
          <w:rFonts w:ascii="Times New Roman" w:hAnsi="Times New Roman"/>
          <w:color w:val="000000"/>
          <w:sz w:val="20"/>
          <w:szCs w:val="20"/>
        </w:rPr>
        <w:t xml:space="preserve"> A.R. 674.</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In its 90–day finding, the Service had two responses to the Halbert study. First, it stated that the IBMP already sets population management targets for the two herds separately. A.R. 9. While that may be the case, the Service’s position ignores the inference from the Halbert study that the overall population target is either too low in light of other studies indicating 3,000 bison are needed for </w:t>
      </w:r>
      <w:r>
        <w:rPr>
          <w:rFonts w:ascii="Times New Roman" w:hAnsi="Times New Roman"/>
          <w:color w:val="000000"/>
          <w:sz w:val="20"/>
          <w:szCs w:val="20"/>
        </w:rPr>
        <w:lastRenderedPageBreak/>
        <w:t xml:space="preserve">each herd to ensure survival, or inaccurate because it was set before recognizing that the two herds need to be maintained individually. Second, the Service simply adopted White and Wallen’s conclusion that “maintenance of subpopulation genetic differentiation and overall genetic diversity may not be crucial for preserving genes” and that the Service therefore need not maintain the two subpopulations. A.R. 9–10. The Service offered no explanation for why Halbert et al.’s conclusion was irrelevant, unreliable, or unsubstantiated, nor any discussion why a reasonable person could not rely on the Halbert study over the White and Wallen study. In so doing, the Service appears to have taken it upon itself to resolve a disagreement among reasonable scientists, an observation echoed by arguments made in its brief defending the side it picked. </w:t>
      </w:r>
      <w:r>
        <w:rPr>
          <w:rFonts w:ascii="Times New Roman" w:hAnsi="Times New Roman"/>
          <w:color w:val="000000"/>
          <w:sz w:val="20"/>
          <w:szCs w:val="20"/>
          <w:u w:val="single"/>
        </w:rPr>
        <w:t>See</w:t>
      </w:r>
      <w:r>
        <w:rPr>
          <w:rFonts w:ascii="Times New Roman" w:hAnsi="Times New Roman"/>
          <w:color w:val="000000"/>
          <w:sz w:val="20"/>
          <w:szCs w:val="20"/>
        </w:rPr>
        <w:t xml:space="preserve"> Mem. Supp. Fed. Defs.’ Cross–Mot. Summ. J., at 27–28; Fed. Defs.’ Reply Supp. Cross–Mot. Summ. J., at 14–19. The Service thereby applied an inappropriately heightened standard to the evaluation of Buffalo Field’s petition. </w:t>
      </w:r>
      <w:r>
        <w:rPr>
          <w:rFonts w:ascii="Times New Roman" w:hAnsi="Times New Roman"/>
          <w:color w:val="000000"/>
          <w:sz w:val="20"/>
          <w:szCs w:val="20"/>
          <w:u w:val="single"/>
        </w:rPr>
        <w:t>See</w:t>
      </w:r>
      <w:r>
        <w:rPr>
          <w:rFonts w:ascii="Times New Roman" w:hAnsi="Times New Roman"/>
          <w:color w:val="000000"/>
          <w:sz w:val="20"/>
          <w:szCs w:val="20"/>
        </w:rPr>
        <w:t xml:space="preserve"> </w:t>
      </w:r>
      <w:hyperlink r:id="rId37" w:history="1">
        <w:r>
          <w:rPr>
            <w:rFonts w:ascii="Times New Roman" w:hAnsi="Times New Roman"/>
            <w:color w:val="0000FF"/>
            <w:sz w:val="20"/>
            <w:szCs w:val="20"/>
            <w:u w:val="single"/>
          </w:rPr>
          <w:t>McCrary</w:t>
        </w:r>
        <w:r>
          <w:rPr>
            <w:rFonts w:ascii="Times New Roman" w:hAnsi="Times New Roman"/>
            <w:color w:val="0000FF"/>
            <w:sz w:val="20"/>
            <w:szCs w:val="20"/>
          </w:rPr>
          <w:t>, 2010 WL 520762, at *7</w:t>
        </w:r>
      </w:hyperlink>
      <w:r>
        <w:rPr>
          <w:rFonts w:ascii="Times New Roman" w:hAnsi="Times New Roman"/>
          <w:color w:val="000000"/>
          <w:sz w:val="20"/>
          <w:szCs w:val="20"/>
        </w:rPr>
        <w:t xml:space="preserve">; </w:t>
      </w:r>
      <w:hyperlink r:id="rId38" w:history="1">
        <w:r>
          <w:rPr>
            <w:rFonts w:ascii="Times New Roman" w:hAnsi="Times New Roman"/>
            <w:color w:val="0000FF"/>
            <w:sz w:val="20"/>
            <w:szCs w:val="20"/>
            <w:u w:val="single"/>
          </w:rPr>
          <w:t>Kempthorne</w:t>
        </w:r>
        <w:r>
          <w:rPr>
            <w:rFonts w:ascii="Times New Roman" w:hAnsi="Times New Roman"/>
            <w:color w:val="0000FF"/>
            <w:sz w:val="20"/>
            <w:szCs w:val="20"/>
          </w:rPr>
          <w:t>, 2007 WL 163244, at *7</w:t>
        </w:r>
      </w:hyperlink>
      <w:r>
        <w:rPr>
          <w:rFonts w:ascii="Times New Roman" w:hAnsi="Times New Roman"/>
          <w:color w:val="000000"/>
          <w:sz w:val="20"/>
          <w:szCs w:val="20"/>
        </w:rPr>
        <w:t>.</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The Service responds that the Court should defer to the Service’s expertise in evaluating the evidence presented in citizen petitions. That is certainly true with respect to the Service’s conclusion that a </w:t>
      </w:r>
      <w:bookmarkStart w:id="29" w:name="co_pp_sp_7903_111_1"/>
      <w:bookmarkEnd w:id="29"/>
      <w:r>
        <w:rPr>
          <w:rFonts w:ascii="Times New Roman" w:hAnsi="Times New Roman"/>
          <w:b/>
          <w:bCs/>
          <w:color w:val="000000"/>
          <w:sz w:val="20"/>
          <w:szCs w:val="20"/>
        </w:rPr>
        <w:t>*111</w:t>
      </w:r>
      <w:r>
        <w:rPr>
          <w:rFonts w:ascii="Times New Roman" w:hAnsi="Times New Roman"/>
          <w:color w:val="000000"/>
          <w:sz w:val="20"/>
          <w:szCs w:val="20"/>
        </w:rPr>
        <w:t xml:space="preserve"> specific study is unscientific, obsolete, or unreliable. But the Service made no such conclusions here: it offered no explanation whatsoever for its rejection of the Halbert study (other than its reliance on the White and Wallen study). Similarly, the Court might give deference to the Service’s conclusion that a reasonable scientist would not rely on Halbert et al. But again, the Service provides no such justification for its conclusion here. Ultimately, the Service simply picked a side in an ongoing debate in the scientific community, which is improper at the 90–day finding stage. The Court need not defer to an agency’s application of the improper legal standard.</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Finally, the Service contended at the hearing that by not allowing it to resolve scientific discrepancies or disputes, the Court will collapse any distinction between the 90–day finding and the 12–month review. This concern is overstated. The Court is not requiring the Service to accept any and all positions that a petition advances. Nor is it requiring the Service to credit scientific studies it knows to be obsolete, wholly unreliable, or irrelevant. </w:t>
      </w:r>
      <w:r>
        <w:rPr>
          <w:rFonts w:ascii="Times New Roman" w:hAnsi="Times New Roman"/>
          <w:color w:val="000000"/>
          <w:sz w:val="20"/>
          <w:szCs w:val="20"/>
          <w:u w:val="single"/>
        </w:rPr>
        <w:t>See</w:t>
      </w:r>
      <w:r>
        <w:rPr>
          <w:rFonts w:ascii="Times New Roman" w:hAnsi="Times New Roman"/>
          <w:color w:val="000000"/>
          <w:sz w:val="20"/>
          <w:szCs w:val="20"/>
        </w:rPr>
        <w:t xml:space="preserve"> </w:t>
      </w:r>
      <w:hyperlink r:id="rId39" w:anchor="co_pp_sp_4637_1142" w:history="1">
        <w:r>
          <w:rPr>
            <w:rFonts w:ascii="Times New Roman" w:hAnsi="Times New Roman"/>
            <w:color w:val="0000FF"/>
            <w:sz w:val="20"/>
            <w:szCs w:val="20"/>
            <w:u w:val="single"/>
          </w:rPr>
          <w:t>Morgenweck</w:t>
        </w:r>
        <w:r>
          <w:rPr>
            <w:rFonts w:ascii="Times New Roman" w:hAnsi="Times New Roman"/>
            <w:color w:val="0000FF"/>
            <w:sz w:val="20"/>
            <w:szCs w:val="20"/>
          </w:rPr>
          <w:t>, 351 F.Supp.2d at 1142</w:t>
        </w:r>
      </w:hyperlink>
      <w:r>
        <w:rPr>
          <w:rFonts w:ascii="Times New Roman" w:hAnsi="Times New Roman"/>
          <w:color w:val="000000"/>
          <w:sz w:val="20"/>
          <w:szCs w:val="20"/>
        </w:rPr>
        <w:t xml:space="preserve">; </w:t>
      </w:r>
      <w:r>
        <w:rPr>
          <w:rFonts w:ascii="Times New Roman" w:hAnsi="Times New Roman"/>
          <w:color w:val="000000"/>
          <w:sz w:val="20"/>
          <w:szCs w:val="20"/>
          <w:u w:val="single"/>
        </w:rPr>
        <w:t>cf.</w:t>
      </w:r>
      <w:r>
        <w:rPr>
          <w:rFonts w:ascii="Times New Roman" w:hAnsi="Times New Roman"/>
          <w:color w:val="000000"/>
          <w:sz w:val="20"/>
          <w:szCs w:val="20"/>
        </w:rPr>
        <w:t xml:space="preserve"> </w:t>
      </w:r>
      <w:hyperlink r:id="rId40" w:anchor="co_pp_sp_7903_14" w:history="1">
        <w:r>
          <w:rPr>
            <w:rFonts w:ascii="Times New Roman" w:hAnsi="Times New Roman"/>
            <w:color w:val="0000FF"/>
            <w:sz w:val="20"/>
            <w:szCs w:val="20"/>
            <w:u w:val="single"/>
          </w:rPr>
          <w:t>Pritzker</w:t>
        </w:r>
        <w:r>
          <w:rPr>
            <w:rFonts w:ascii="Times New Roman" w:hAnsi="Times New Roman"/>
            <w:color w:val="0000FF"/>
            <w:sz w:val="20"/>
            <w:szCs w:val="20"/>
          </w:rPr>
          <w:t>, 75 F.Supp.3d at 14</w:t>
        </w:r>
      </w:hyperlink>
      <w:r>
        <w:rPr>
          <w:rFonts w:ascii="Times New Roman" w:hAnsi="Times New Roman"/>
          <w:color w:val="000000"/>
          <w:sz w:val="20"/>
          <w:szCs w:val="20"/>
        </w:rPr>
        <w:t xml:space="preserve"> (indicating that the Service can disregard obsolete studies or unsupported allegations). Even Buffalo Field agreed at the hearing that the Service can use its expertise in this fashion. Thus, the Service will not be required to grant every petition that appears before it—it simply cannot resolve outstanding disputes between </w:t>
      </w:r>
      <w:r>
        <w:rPr>
          <w:rFonts w:ascii="Times New Roman" w:hAnsi="Times New Roman"/>
          <w:color w:val="000000"/>
          <w:sz w:val="20"/>
          <w:szCs w:val="20"/>
        </w:rPr>
        <w:t>reasonable scientists over relevant matters in the course of a 90–day review.</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16"/>
          <w:szCs w:val="16"/>
        </w:rPr>
      </w:pPr>
      <w:r>
        <w:rPr>
          <w:rFonts w:ascii="Times New Roman" w:hAnsi="Times New Roman"/>
          <w:color w:val="000000"/>
          <w:sz w:val="20"/>
          <w:szCs w:val="20"/>
        </w:rPr>
        <w:t>In sum, by resolving an outstanding scientific dispute, the Service applied an improperly heightened standard in making its 90–day determination. This renders the Service’s decision arbitrary and capricious, and entitles Buffalo Field to summary judgment in its favor.</w:t>
      </w:r>
      <w:bookmarkStart w:id="30" w:name="co_footnoteReference_B00022043717331_ID0"/>
      <w:bookmarkEnd w:id="30"/>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"#co_footnote_B00022043717331_1" </w:instrText>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w:t>
      </w:r>
      <w:r>
        <w:rPr>
          <w:rFonts w:ascii="Times New Roman" w:hAnsi="Times New Roman"/>
          <w:color w:val="000000"/>
          <w:sz w:val="16"/>
          <w:szCs w:val="16"/>
        </w:rPr>
        <w:fldChar w:fldCharType="end"/>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101F74">
      <w:pPr>
        <w:widowControl w:val="0"/>
        <w:autoSpaceDE w:val="0"/>
        <w:autoSpaceDN w:val="0"/>
        <w:adjustRightInd w:val="0"/>
        <w:jc w:val="both"/>
        <w:rPr>
          <w:rFonts w:ascii="Times New Roman" w:hAnsi="Times New Roman"/>
          <w:color w:val="000000"/>
          <w:sz w:val="20"/>
          <w:szCs w:val="20"/>
        </w:rPr>
      </w:pPr>
      <w:bookmarkStart w:id="31" w:name="co_anchor_Ic70e4160497d11e8bc75e15fbdd7c"/>
      <w:bookmarkEnd w:id="31"/>
    </w:p>
    <w:p w:rsidR="00101F74" w:rsidRDefault="00E50960">
      <w:pPr>
        <w:widowControl w:val="0"/>
        <w:autoSpaceDE w:val="0"/>
        <w:autoSpaceDN w:val="0"/>
        <w:adjustRightInd w:val="0"/>
        <w:spacing w:before="400" w:after="200"/>
        <w:jc w:val="center"/>
        <w:rPr>
          <w:rFonts w:ascii="Times New Roman" w:hAnsi="Times New Roman"/>
          <w:color w:val="000000"/>
          <w:sz w:val="20"/>
          <w:szCs w:val="20"/>
          <w:u w:val="single"/>
        </w:rPr>
      </w:pPr>
      <w:r>
        <w:rPr>
          <w:rFonts w:ascii="Times New Roman" w:hAnsi="Times New Roman"/>
          <w:color w:val="000000"/>
          <w:sz w:val="20"/>
          <w:szCs w:val="20"/>
        </w:rPr>
        <w:t xml:space="preserve">B. </w:t>
      </w:r>
      <w:r>
        <w:rPr>
          <w:rFonts w:ascii="Times New Roman" w:hAnsi="Times New Roman"/>
          <w:color w:val="000000"/>
          <w:sz w:val="20"/>
          <w:szCs w:val="20"/>
          <w:u w:val="single"/>
        </w:rPr>
        <w:t>The appropriate remedy.</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132043717331_1" w:history="1">
        <w:r w:rsidR="00E50960">
          <w:rPr>
            <w:rFonts w:ascii="Times New Roman" w:hAnsi="Times New Roman"/>
            <w:b/>
            <w:bCs/>
            <w:color w:val="252525"/>
            <w:sz w:val="20"/>
            <w:szCs w:val="20"/>
            <w:vertAlign w:val="superscript"/>
          </w:rPr>
          <w:t>[13]</w:t>
        </w:r>
      </w:hyperlink>
      <w:bookmarkStart w:id="32" w:name="co_anchor_B132043717331_1"/>
      <w:bookmarkEnd w:id="32"/>
      <w:r w:rsidR="00E50960">
        <w:rPr>
          <w:rFonts w:ascii="Times New Roman" w:hAnsi="Times New Roman"/>
          <w:color w:val="000000"/>
          <w:sz w:val="20"/>
          <w:szCs w:val="20"/>
        </w:rPr>
        <w:t>Buffalo Field argues that if the Service’s decision is arbitrary and capricious, the Court should direct the Service to begin a 12–month review rather than simply remand the case to the Service. The Court, however, agrees with the Service that remand is the appropriate remedy.</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E0737">
      <w:pPr>
        <w:widowControl w:val="0"/>
        <w:autoSpaceDE w:val="0"/>
        <w:autoSpaceDN w:val="0"/>
        <w:adjustRightInd w:val="0"/>
        <w:jc w:val="both"/>
        <w:rPr>
          <w:rFonts w:ascii="Times New Roman" w:hAnsi="Times New Roman"/>
          <w:color w:val="000000"/>
          <w:sz w:val="20"/>
          <w:szCs w:val="20"/>
        </w:rPr>
      </w:pPr>
      <w:hyperlink w:anchor="co_anchor_F142043717331_1" w:history="1">
        <w:r w:rsidR="00E50960">
          <w:rPr>
            <w:rFonts w:ascii="Times New Roman" w:hAnsi="Times New Roman"/>
            <w:b/>
            <w:bCs/>
            <w:color w:val="252525"/>
            <w:sz w:val="20"/>
            <w:szCs w:val="20"/>
            <w:vertAlign w:val="superscript"/>
          </w:rPr>
          <w:t>[14]</w:t>
        </w:r>
      </w:hyperlink>
      <w:bookmarkStart w:id="33" w:name="co_anchor_B142043717331_1"/>
      <w:bookmarkEnd w:id="33"/>
      <w:r w:rsidR="00E50960">
        <w:rPr>
          <w:rFonts w:ascii="Times New Roman" w:hAnsi="Times New Roman"/>
          <w:color w:val="000000"/>
          <w:sz w:val="20"/>
          <w:szCs w:val="20"/>
        </w:rPr>
        <w:t xml:space="preserve">As the D.C. Circuit has repeatedly explained, a “district court reviewing a final agency action ‘does not perform its normal role but instead sits as an appellate tribunal.’ ” </w:t>
      </w:r>
      <w:hyperlink r:id="rId41" w:anchor="co_pp_sp_506_403" w:history="1">
        <w:r w:rsidR="00E50960">
          <w:rPr>
            <w:rFonts w:ascii="Times New Roman" w:hAnsi="Times New Roman"/>
            <w:color w:val="0000FF"/>
            <w:sz w:val="20"/>
            <w:szCs w:val="20"/>
            <w:u w:val="single"/>
          </w:rPr>
          <w:t>Palisades General Hosp. Inc. v. Leavitt</w:t>
        </w:r>
        <w:r w:rsidR="00E50960">
          <w:rPr>
            <w:rFonts w:ascii="Times New Roman" w:hAnsi="Times New Roman"/>
            <w:color w:val="0000FF"/>
            <w:sz w:val="20"/>
            <w:szCs w:val="20"/>
          </w:rPr>
          <w:t>, 426 F.3d 400, 403 (D.C. Cir. 2005)</w:t>
        </w:r>
      </w:hyperlink>
      <w:r w:rsidR="00E50960">
        <w:rPr>
          <w:rFonts w:ascii="Times New Roman" w:hAnsi="Times New Roman"/>
          <w:color w:val="000000"/>
          <w:sz w:val="20"/>
          <w:szCs w:val="20"/>
        </w:rPr>
        <w:t xml:space="preserve"> (citation omitted). Thus, “when a court reviewing agency action determines that an agency made an error of law, the court’s inquiry is at an end: the case must be remanded to the agency for further action consistent with the corrected legal standards.” </w:t>
      </w:r>
      <w:hyperlink r:id="rId42" w:anchor="co_pp_sp_506_1011" w:history="1">
        <w:r w:rsidR="00E50960">
          <w:rPr>
            <w:rFonts w:ascii="Times New Roman" w:hAnsi="Times New Roman"/>
            <w:color w:val="0000FF"/>
            <w:sz w:val="20"/>
            <w:szCs w:val="20"/>
            <w:u w:val="single"/>
          </w:rPr>
          <w:t>County of Los Angeles v. Shalala</w:t>
        </w:r>
        <w:r w:rsidR="00E50960">
          <w:rPr>
            <w:rFonts w:ascii="Times New Roman" w:hAnsi="Times New Roman"/>
            <w:color w:val="0000FF"/>
            <w:sz w:val="20"/>
            <w:szCs w:val="20"/>
          </w:rPr>
          <w:t>, 192 F.3d 1005, 1011 (D.C. Cir. 1999)</w:t>
        </w:r>
      </w:hyperlink>
      <w:r w:rsidR="00E50960">
        <w:rPr>
          <w:rFonts w:ascii="Times New Roman" w:hAnsi="Times New Roman"/>
          <w:color w:val="000000"/>
          <w:sz w:val="20"/>
          <w:szCs w:val="20"/>
        </w:rPr>
        <w:t xml:space="preserve">; </w:t>
      </w:r>
      <w:r w:rsidR="00E50960">
        <w:rPr>
          <w:rFonts w:ascii="Times New Roman" w:hAnsi="Times New Roman"/>
          <w:color w:val="000000"/>
          <w:sz w:val="20"/>
          <w:szCs w:val="20"/>
          <w:u w:val="single"/>
        </w:rPr>
        <w:t>see also</w:t>
      </w:r>
      <w:r w:rsidR="00E50960">
        <w:rPr>
          <w:rFonts w:ascii="Times New Roman" w:hAnsi="Times New Roman"/>
          <w:color w:val="000000"/>
          <w:sz w:val="20"/>
          <w:szCs w:val="20"/>
        </w:rPr>
        <w:t xml:space="preserve"> </w:t>
      </w:r>
      <w:hyperlink r:id="rId43" w:anchor="co_pp_sp_506_20" w:history="1">
        <w:r w:rsidR="00E50960">
          <w:rPr>
            <w:rFonts w:ascii="Times New Roman" w:hAnsi="Times New Roman"/>
            <w:color w:val="0000FF"/>
            <w:sz w:val="20"/>
            <w:szCs w:val="20"/>
            <w:u w:val="single"/>
          </w:rPr>
          <w:t>North Carolina Fisheries Ass’n, Inc. v. Gutierrez</w:t>
        </w:r>
        <w:r w:rsidR="00E50960">
          <w:rPr>
            <w:rFonts w:ascii="Times New Roman" w:hAnsi="Times New Roman"/>
            <w:color w:val="0000FF"/>
            <w:sz w:val="20"/>
            <w:szCs w:val="20"/>
          </w:rPr>
          <w:t>, 550 F.3d 16, 20 (D.C. Cir. 2008)</w:t>
        </w:r>
      </w:hyperlink>
      <w:r w:rsidR="00E50960">
        <w:rPr>
          <w:rFonts w:ascii="Times New Roman" w:hAnsi="Times New Roman"/>
          <w:color w:val="000000"/>
          <w:sz w:val="20"/>
          <w:szCs w:val="20"/>
        </w:rPr>
        <w:t xml:space="preserve">. Indeed, the D.C. Circuit has held that district courts commit error when they impose specific relief—such as that Buffalo Field requests—on an agency. </w:t>
      </w:r>
      <w:r w:rsidR="00E50960">
        <w:rPr>
          <w:rFonts w:ascii="Times New Roman" w:hAnsi="Times New Roman"/>
          <w:color w:val="000000"/>
          <w:sz w:val="20"/>
          <w:szCs w:val="20"/>
          <w:u w:val="single"/>
        </w:rPr>
        <w:t>See, e.g.</w:t>
      </w:r>
      <w:r w:rsidR="00E50960">
        <w:rPr>
          <w:rFonts w:ascii="Times New Roman" w:hAnsi="Times New Roman"/>
          <w:color w:val="000000"/>
          <w:sz w:val="20"/>
          <w:szCs w:val="20"/>
        </w:rPr>
        <w:t xml:space="preserve">, </w:t>
      </w:r>
      <w:hyperlink r:id="rId44" w:anchor="co_pp_sp_506_403" w:history="1">
        <w:r w:rsidR="00E50960">
          <w:rPr>
            <w:rFonts w:ascii="Times New Roman" w:hAnsi="Times New Roman"/>
            <w:color w:val="0000FF"/>
            <w:sz w:val="20"/>
            <w:szCs w:val="20"/>
            <w:u w:val="single"/>
          </w:rPr>
          <w:t>Palisades General</w:t>
        </w:r>
        <w:r w:rsidR="00E50960">
          <w:rPr>
            <w:rFonts w:ascii="Times New Roman" w:hAnsi="Times New Roman"/>
            <w:color w:val="0000FF"/>
            <w:sz w:val="20"/>
            <w:szCs w:val="20"/>
          </w:rPr>
          <w:t>, 426 F.3d at 403</w:t>
        </w:r>
      </w:hyperlink>
      <w:r w:rsidR="00E50960">
        <w:rPr>
          <w:rFonts w:ascii="Times New Roman" w:hAnsi="Times New Roman"/>
          <w:color w:val="000000"/>
          <w:sz w:val="20"/>
          <w:szCs w:val="20"/>
        </w:rPr>
        <w:t xml:space="preserve"> (“[T]he district court had jurisdiction only to vacate the Secretary’s decision rejecting the hospital’s revised wage data and to remand for further action consistent with its opinion.”); </w:t>
      </w:r>
      <w:hyperlink r:id="rId45" w:anchor="co_pp_sp_506_1011" w:history="1">
        <w:r w:rsidR="00E50960">
          <w:rPr>
            <w:rFonts w:ascii="Times New Roman" w:hAnsi="Times New Roman"/>
            <w:color w:val="0000FF"/>
            <w:sz w:val="20"/>
            <w:szCs w:val="20"/>
            <w:u w:val="single"/>
          </w:rPr>
          <w:t>County of Los Angeles</w:t>
        </w:r>
        <w:r w:rsidR="00E50960">
          <w:rPr>
            <w:rFonts w:ascii="Times New Roman" w:hAnsi="Times New Roman"/>
            <w:color w:val="0000FF"/>
            <w:sz w:val="20"/>
            <w:szCs w:val="20"/>
          </w:rPr>
          <w:t>, 192 F.3d at 1011</w:t>
        </w:r>
      </w:hyperlink>
      <w:r w:rsidR="00E50960">
        <w:rPr>
          <w:rFonts w:ascii="Times New Roman" w:hAnsi="Times New Roman"/>
          <w:color w:val="000000"/>
          <w:sz w:val="20"/>
          <w:szCs w:val="20"/>
        </w:rPr>
        <w:t xml:space="preserve"> (“Not only was it unnecessary for the [district] court to retain jurisdiction to devise a specific remedy for the Secretary to follow, but it was error to do so.”). In light of this precedent, the Court concludes </w:t>
      </w:r>
      <w:bookmarkStart w:id="34" w:name="co_pp_sp_7903_112_1"/>
      <w:bookmarkEnd w:id="34"/>
      <w:r w:rsidR="00E50960">
        <w:rPr>
          <w:rFonts w:ascii="Times New Roman" w:hAnsi="Times New Roman"/>
          <w:b/>
          <w:bCs/>
          <w:color w:val="000000"/>
          <w:sz w:val="20"/>
          <w:szCs w:val="20"/>
        </w:rPr>
        <w:t>*112</w:t>
      </w:r>
      <w:r w:rsidR="00E50960">
        <w:rPr>
          <w:rFonts w:ascii="Times New Roman" w:hAnsi="Times New Roman"/>
          <w:color w:val="000000"/>
          <w:sz w:val="20"/>
          <w:szCs w:val="20"/>
        </w:rPr>
        <w:t xml:space="preserve"> that it would be improper to direct the Service to begin a 12–month review.</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The cases that Buffalo Field cites where a court did direct the Service to begin a 12 month review rather than simply remand—including one from this District—do not persuade the Court otherwise. In most of them, including the case from this District, the Service’s error resulted from its reliance on third-party data or information. </w:t>
      </w:r>
      <w:r>
        <w:rPr>
          <w:rFonts w:ascii="Times New Roman" w:hAnsi="Times New Roman"/>
          <w:color w:val="000000"/>
          <w:sz w:val="20"/>
          <w:szCs w:val="20"/>
          <w:u w:val="single"/>
        </w:rPr>
        <w:t>See</w:t>
      </w:r>
      <w:r>
        <w:rPr>
          <w:rFonts w:ascii="Times New Roman" w:hAnsi="Times New Roman"/>
          <w:color w:val="000000"/>
          <w:sz w:val="20"/>
          <w:szCs w:val="20"/>
        </w:rPr>
        <w:t xml:space="preserve"> </w:t>
      </w:r>
      <w:hyperlink r:id="rId46" w:history="1">
        <w:r>
          <w:rPr>
            <w:rFonts w:ascii="Times New Roman" w:hAnsi="Times New Roman"/>
            <w:color w:val="0000FF"/>
            <w:sz w:val="20"/>
            <w:szCs w:val="20"/>
            <w:u w:val="single"/>
          </w:rPr>
          <w:t>Western Watersheds Project v. Kempthorne</w:t>
        </w:r>
        <w:r>
          <w:rPr>
            <w:rFonts w:ascii="Times New Roman" w:hAnsi="Times New Roman"/>
            <w:color w:val="0000FF"/>
            <w:sz w:val="20"/>
            <w:szCs w:val="20"/>
          </w:rPr>
          <w:t>, 2009 WL 10678130, at *9 (D. Idaho March 31, 2009)</w:t>
        </w:r>
      </w:hyperlink>
      <w:r>
        <w:rPr>
          <w:rFonts w:ascii="Times New Roman" w:hAnsi="Times New Roman"/>
          <w:color w:val="000000"/>
          <w:sz w:val="20"/>
          <w:szCs w:val="20"/>
        </w:rPr>
        <w:t xml:space="preserve"> (Service erred </w:t>
      </w:r>
      <w:r>
        <w:rPr>
          <w:rFonts w:ascii="Times New Roman" w:hAnsi="Times New Roman"/>
          <w:color w:val="000000"/>
          <w:sz w:val="20"/>
          <w:szCs w:val="20"/>
        </w:rPr>
        <w:lastRenderedPageBreak/>
        <w:t xml:space="preserve">by soliciting information from third party scientist when making 90–day determination); </w:t>
      </w:r>
      <w:hyperlink r:id="rId47" w:anchor="co_pp_sp_4637_176" w:history="1">
        <w:r>
          <w:rPr>
            <w:rFonts w:ascii="Times New Roman" w:hAnsi="Times New Roman"/>
            <w:color w:val="0000FF"/>
            <w:sz w:val="20"/>
            <w:szCs w:val="20"/>
            <w:u w:val="single"/>
          </w:rPr>
          <w:t>Colorado River</w:t>
        </w:r>
        <w:r>
          <w:rPr>
            <w:rFonts w:ascii="Times New Roman" w:hAnsi="Times New Roman"/>
            <w:color w:val="0000FF"/>
            <w:sz w:val="20"/>
            <w:szCs w:val="20"/>
          </w:rPr>
          <w:t>, 448 F.Supp.2d at 176–177</w:t>
        </w:r>
      </w:hyperlink>
      <w:r>
        <w:rPr>
          <w:rFonts w:ascii="Times New Roman" w:hAnsi="Times New Roman"/>
          <w:color w:val="000000"/>
          <w:sz w:val="20"/>
          <w:szCs w:val="20"/>
        </w:rPr>
        <w:t xml:space="preserve"> (Service erred by soliciting information from states and other agencies when making 90–day review); </w:t>
      </w:r>
      <w:hyperlink r:id="rId48" w:anchor="co_pp_sp_4637_1143" w:history="1">
        <w:r>
          <w:rPr>
            <w:rFonts w:ascii="Times New Roman" w:hAnsi="Times New Roman"/>
            <w:color w:val="0000FF"/>
            <w:sz w:val="20"/>
            <w:szCs w:val="20"/>
            <w:u w:val="single"/>
          </w:rPr>
          <w:t>Morgenweck</w:t>
        </w:r>
        <w:r>
          <w:rPr>
            <w:rFonts w:ascii="Times New Roman" w:hAnsi="Times New Roman"/>
            <w:color w:val="0000FF"/>
            <w:sz w:val="20"/>
            <w:szCs w:val="20"/>
          </w:rPr>
          <w:t>, 351 F.Supp.2d at 1143 (D. Colo. 2004)</w:t>
        </w:r>
      </w:hyperlink>
      <w:r>
        <w:rPr>
          <w:rFonts w:ascii="Times New Roman" w:hAnsi="Times New Roman"/>
          <w:color w:val="000000"/>
          <w:sz w:val="20"/>
          <w:szCs w:val="20"/>
        </w:rPr>
        <w:t xml:space="preserve"> (same). Thus, in those cases, the Service effectively began a 12–month review during the 90–day review stage. As such, the courts were simply directing the Service to continue what it had in essence already begun. But the Service has not committed that error here—it has looked solely at the information in the two petitions and its files. In other words, the Service has not begun a </w:t>
      </w:r>
      <w:r>
        <w:rPr>
          <w:rFonts w:ascii="Times New Roman" w:hAnsi="Times New Roman"/>
          <w:i/>
          <w:iCs/>
          <w:color w:val="000000"/>
          <w:sz w:val="20"/>
          <w:szCs w:val="20"/>
        </w:rPr>
        <w:t>de facto</w:t>
      </w:r>
      <w:r>
        <w:rPr>
          <w:rFonts w:ascii="Times New Roman" w:hAnsi="Times New Roman"/>
          <w:color w:val="000000"/>
          <w:sz w:val="20"/>
          <w:szCs w:val="20"/>
        </w:rPr>
        <w:t xml:space="preserve"> 12–month review disguised as a 90–day one. Given this distinction, the cases that Buffalo Field cites are inapposite. The appropriate remedy is to remand to the Service to allow it to conduct a 90–day finding using the appropriate standard.</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101F74">
      <w:pPr>
        <w:widowControl w:val="0"/>
        <w:autoSpaceDE w:val="0"/>
        <w:autoSpaceDN w:val="0"/>
        <w:adjustRightInd w:val="0"/>
        <w:jc w:val="both"/>
        <w:rPr>
          <w:rFonts w:ascii="Times New Roman" w:hAnsi="Times New Roman"/>
          <w:color w:val="000000"/>
          <w:sz w:val="20"/>
          <w:szCs w:val="20"/>
        </w:rPr>
      </w:pPr>
      <w:bookmarkStart w:id="35" w:name="co_anchor_Ic71211f0497d11e8bc75e15fbdd7c"/>
      <w:bookmarkEnd w:id="35"/>
    </w:p>
    <w:p w:rsidR="00101F74" w:rsidRDefault="00E50960">
      <w:pPr>
        <w:widowControl w:val="0"/>
        <w:autoSpaceDE w:val="0"/>
        <w:autoSpaceDN w:val="0"/>
        <w:adjustRightInd w:val="0"/>
        <w:spacing w:before="200"/>
        <w:ind w:left="200"/>
        <w:rPr>
          <w:rFonts w:ascii="Times New Roman" w:hAnsi="Times New Roman"/>
          <w:b/>
          <w:bCs/>
          <w:color w:val="000000"/>
          <w:sz w:val="20"/>
          <w:szCs w:val="20"/>
        </w:rPr>
      </w:pPr>
      <w:r>
        <w:rPr>
          <w:rFonts w:ascii="Times New Roman" w:hAnsi="Times New Roman"/>
          <w:b/>
          <w:bCs/>
          <w:color w:val="000000"/>
          <w:sz w:val="20"/>
          <w:szCs w:val="20"/>
        </w:rPr>
        <w:t>IV. Conclusion</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xml:space="preserve">The Service argues that ultimately, Buffalo Field’s </w:t>
      </w:r>
      <w:r>
        <w:rPr>
          <w:rFonts w:ascii="Times New Roman" w:hAnsi="Times New Roman"/>
          <w:color w:val="000000"/>
          <w:sz w:val="20"/>
          <w:szCs w:val="20"/>
        </w:rPr>
        <w:t>concern over the two subpopulations is irrelevant because the bison population is growing. The Service may have a point, and on remand the Service may well be able to reach the same outcome after applying the proper standard. But to do so, the Service must explain why the evidence supporting the petition is unreliable, irrelevant, or otherwise unreasonable to credit rather than simply pick and choose between contradictory scientific studies.</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For the foregoing reasons, the Court grants Buffalo Field’s motion for summary judgment and denies the Service’s cross-motion for summary judgment. A separate Order will accompany this Memorandum Opinion.</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 </w:t>
      </w:r>
    </w:p>
    <w:p w:rsidR="00101F74" w:rsidRDefault="00E50960">
      <w:pPr>
        <w:widowControl w:val="0"/>
        <w:autoSpaceDE w:val="0"/>
        <w:autoSpaceDN w:val="0"/>
        <w:adjustRightInd w:val="0"/>
        <w:spacing w:before="400" w:after="200"/>
        <w:jc w:val="both"/>
        <w:rPr>
          <w:rFonts w:ascii="Times New Roman" w:hAnsi="Times New Roman"/>
          <w:b/>
          <w:bCs/>
          <w:color w:val="212121"/>
          <w:sz w:val="20"/>
          <w:szCs w:val="20"/>
        </w:rPr>
      </w:pPr>
      <w:bookmarkStart w:id="36" w:name="co_allCitations_1"/>
      <w:bookmarkEnd w:id="36"/>
      <w:r>
        <w:rPr>
          <w:rFonts w:ascii="Times New Roman" w:hAnsi="Times New Roman"/>
          <w:b/>
          <w:bCs/>
          <w:color w:val="212121"/>
          <w:sz w:val="20"/>
          <w:szCs w:val="20"/>
        </w:rPr>
        <w:t>All Citations</w:t>
      </w:r>
    </w:p>
    <w:p w:rsidR="00101F74" w:rsidRDefault="00E50960">
      <w:pPr>
        <w:widowControl w:val="0"/>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289 F.Supp.3d 103</w:t>
      </w:r>
    </w:p>
    <w:p w:rsidR="00101F74" w:rsidRDefault="00101F74">
      <w:pPr>
        <w:widowControl w:val="0"/>
        <w:autoSpaceDE w:val="0"/>
        <w:autoSpaceDN w:val="0"/>
        <w:adjustRightInd w:val="0"/>
        <w:rPr>
          <w:rFonts w:ascii="sans-serif" w:hAnsi="sans-serif" w:cs="sans-serif"/>
          <w:color w:val="000000"/>
        </w:rPr>
      </w:pPr>
    </w:p>
    <w:p w:rsidR="00101F74" w:rsidRDefault="00101F74">
      <w:pPr>
        <w:widowControl w:val="0"/>
        <w:autoSpaceDE w:val="0"/>
        <w:autoSpaceDN w:val="0"/>
        <w:adjustRightInd w:val="0"/>
        <w:rPr>
          <w:rFonts w:ascii="Arial" w:hAnsi="Arial" w:cs="Arial"/>
        </w:rPr>
        <w:sectPr w:rsidR="00101F74">
          <w:type w:val="continuous"/>
          <w:pgSz w:w="12240" w:h="15840"/>
          <w:pgMar w:top="1080" w:right="1080" w:bottom="1080" w:left="1080" w:header="720" w:footer="720" w:gutter="0"/>
          <w:cols w:num="2" w:space="720"/>
          <w:noEndnote/>
        </w:sect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01F74" w:rsidRPr="00E50960">
        <w:tc>
          <w:tcPr>
            <w:tcW w:w="10080" w:type="dxa"/>
            <w:gridSpan w:val="2"/>
            <w:tcBorders>
              <w:top w:val="nil"/>
              <w:left w:val="nil"/>
              <w:bottom w:val="nil"/>
              <w:right w:val="nil"/>
            </w:tcBorders>
            <w:tcMar>
              <w:top w:w="200" w:type="dxa"/>
            </w:tcMar>
          </w:tcPr>
          <w:p w:rsidR="00101F74" w:rsidRPr="00E50960" w:rsidRDefault="00E50960">
            <w:pPr>
              <w:widowControl w:val="0"/>
              <w:autoSpaceDE w:val="0"/>
              <w:autoSpaceDN w:val="0"/>
              <w:adjustRightInd w:val="0"/>
              <w:rPr>
                <w:rFonts w:ascii="sans-serif" w:hAnsi="sans-serif" w:cs="sans-serif"/>
                <w:color w:val="000000"/>
                <w:sz w:val="20"/>
                <w:szCs w:val="20"/>
              </w:rPr>
            </w:pPr>
            <w:r w:rsidRPr="00E50960">
              <w:rPr>
                <w:rFonts w:ascii="sans-serif" w:hAnsi="sans-serif" w:cs="sans-serif"/>
                <w:color w:val="000000"/>
                <w:sz w:val="20"/>
                <w:szCs w:val="20"/>
              </w:rPr>
              <w:t>Footnotes</w:t>
            </w:r>
          </w:p>
          <w:p w:rsidR="00101F74" w:rsidRPr="00E50960" w:rsidRDefault="00101F74">
            <w:pPr>
              <w:widowControl w:val="0"/>
              <w:autoSpaceDE w:val="0"/>
              <w:autoSpaceDN w:val="0"/>
              <w:adjustRightInd w:val="0"/>
              <w:rPr>
                <w:rFonts w:ascii="sans-serif" w:hAnsi="sans-serif" w:cs="sans-serif"/>
                <w:color w:val="000000"/>
                <w:sz w:val="20"/>
                <w:szCs w:val="20"/>
              </w:rPr>
            </w:pPr>
          </w:p>
        </w:tc>
      </w:tr>
      <w:bookmarkStart w:id="37" w:name="co_footnote_B00012043717331_1"/>
      <w:bookmarkEnd w:id="37"/>
      <w:tr w:rsidR="00101F74" w:rsidRPr="00E50960">
        <w:tc>
          <w:tcPr>
            <w:tcW w:w="600" w:type="dxa"/>
            <w:tcBorders>
              <w:top w:val="nil"/>
              <w:left w:val="nil"/>
              <w:bottom w:val="nil"/>
              <w:right w:val="nil"/>
            </w:tcBorders>
          </w:tcPr>
          <w:p w:rsidR="00101F74" w:rsidRPr="00E50960" w:rsidRDefault="00E50960">
            <w:pPr>
              <w:widowControl w:val="0"/>
              <w:autoSpaceDE w:val="0"/>
              <w:autoSpaceDN w:val="0"/>
              <w:adjustRightInd w:val="0"/>
              <w:rPr>
                <w:rFonts w:ascii="sans-serif" w:hAnsi="sans-serif" w:cs="sans-serif"/>
                <w:color w:val="000000"/>
              </w:rPr>
            </w:pPr>
            <w:r w:rsidRPr="00E50960">
              <w:rPr>
                <w:rFonts w:ascii="sans-serif" w:hAnsi="sans-serif" w:cs="sans-serif"/>
                <w:color w:val="000000"/>
              </w:rPr>
              <w:fldChar w:fldCharType="begin"/>
            </w:r>
            <w:r w:rsidRPr="00E50960">
              <w:rPr>
                <w:rFonts w:ascii="sans-serif" w:hAnsi="sans-serif" w:cs="sans-serif"/>
                <w:color w:val="000000"/>
              </w:rPr>
              <w:instrText xml:space="preserve">HYPERLINK "#co_footnoteReference_B00012043717331_ID0" </w:instrText>
            </w:r>
            <w:r w:rsidRPr="00E50960">
              <w:rPr>
                <w:rFonts w:ascii="sans-serif" w:hAnsi="sans-serif" w:cs="sans-serif"/>
                <w:color w:val="000000"/>
              </w:rPr>
              <w:fldChar w:fldCharType="separate"/>
            </w:r>
            <w:r w:rsidRPr="00E50960">
              <w:rPr>
                <w:rFonts w:ascii="sans-serif" w:hAnsi="sans-serif" w:cs="sans-serif"/>
                <w:color w:val="0000FF"/>
                <w:vertAlign w:val="superscript"/>
              </w:rPr>
              <w:t>1</w:t>
            </w:r>
            <w:r w:rsidRPr="00E50960">
              <w:rPr>
                <w:rFonts w:ascii="sans-serif" w:hAnsi="sans-serif" w:cs="sans-serif"/>
                <w:color w:val="000000"/>
              </w:rPr>
              <w:fldChar w:fldCharType="end"/>
            </w:r>
          </w:p>
          <w:p w:rsidR="00101F74" w:rsidRPr="00E50960" w:rsidRDefault="00101F74">
            <w:pPr>
              <w:widowControl w:val="0"/>
              <w:autoSpaceDE w:val="0"/>
              <w:autoSpaceDN w:val="0"/>
              <w:adjustRightInd w:val="0"/>
              <w:rPr>
                <w:rFonts w:ascii="sans-serif" w:hAnsi="sans-serif" w:cs="sans-serif"/>
                <w:color w:val="000000"/>
              </w:rPr>
            </w:pPr>
          </w:p>
        </w:tc>
        <w:tc>
          <w:tcPr>
            <w:tcW w:w="9480" w:type="dxa"/>
            <w:tcBorders>
              <w:top w:val="nil"/>
              <w:left w:val="nil"/>
              <w:bottom w:val="nil"/>
              <w:right w:val="nil"/>
            </w:tcBorders>
          </w:tcPr>
          <w:p w:rsidR="00101F74" w:rsidRPr="00E50960" w:rsidRDefault="00E50960">
            <w:pPr>
              <w:widowControl w:val="0"/>
              <w:autoSpaceDE w:val="0"/>
              <w:autoSpaceDN w:val="0"/>
              <w:adjustRightInd w:val="0"/>
              <w:jc w:val="both"/>
              <w:rPr>
                <w:rFonts w:ascii="sans-serif" w:hAnsi="sans-serif" w:cs="sans-serif"/>
                <w:color w:val="000000"/>
                <w:sz w:val="18"/>
                <w:szCs w:val="18"/>
              </w:rPr>
            </w:pPr>
            <w:r w:rsidRPr="00E50960">
              <w:rPr>
                <w:rFonts w:ascii="sans-serif" w:hAnsi="sans-serif" w:cs="sans-serif"/>
                <w:color w:val="000000"/>
                <w:sz w:val="18"/>
                <w:szCs w:val="18"/>
              </w:rPr>
              <w:t xml:space="preserve">Effective October 27, 2016, this definition was changed to “credible scientific or commercial information in support of the petition’s claims such that a reasonable person conducting an impartial scientific review would conclude that the action proposed in the petition may be warranted.” </w:t>
            </w:r>
            <w:hyperlink r:id="rId49" w:history="1">
              <w:r w:rsidRPr="00E50960">
                <w:rPr>
                  <w:rFonts w:ascii="sans-serif" w:hAnsi="sans-serif" w:cs="sans-serif"/>
                  <w:color w:val="0000FF"/>
                  <w:sz w:val="18"/>
                  <w:szCs w:val="18"/>
                </w:rPr>
                <w:t>50 C.F.R. § 424.14(h)(1)(i)</w:t>
              </w:r>
            </w:hyperlink>
            <w:r w:rsidRPr="00E50960">
              <w:rPr>
                <w:rFonts w:ascii="sans-serif" w:hAnsi="sans-serif" w:cs="sans-serif"/>
                <w:color w:val="000000"/>
                <w:sz w:val="18"/>
                <w:szCs w:val="18"/>
              </w:rPr>
              <w:t>.</w:t>
            </w:r>
          </w:p>
          <w:p w:rsidR="00101F74" w:rsidRPr="00E50960" w:rsidRDefault="00101F74">
            <w:pPr>
              <w:widowControl w:val="0"/>
              <w:autoSpaceDE w:val="0"/>
              <w:autoSpaceDN w:val="0"/>
              <w:adjustRightInd w:val="0"/>
              <w:jc w:val="both"/>
              <w:rPr>
                <w:rFonts w:ascii="sans-serif" w:hAnsi="sans-serif" w:cs="sans-serif"/>
                <w:color w:val="000000"/>
                <w:sz w:val="18"/>
                <w:szCs w:val="18"/>
              </w:rPr>
            </w:pPr>
          </w:p>
        </w:tc>
      </w:tr>
      <w:bookmarkStart w:id="38" w:name="co_footnote_B00022043717331_1"/>
      <w:bookmarkEnd w:id="38"/>
      <w:tr w:rsidR="00101F74" w:rsidRPr="00E50960">
        <w:tc>
          <w:tcPr>
            <w:tcW w:w="600" w:type="dxa"/>
            <w:tcBorders>
              <w:top w:val="nil"/>
              <w:left w:val="nil"/>
              <w:bottom w:val="nil"/>
              <w:right w:val="nil"/>
            </w:tcBorders>
          </w:tcPr>
          <w:p w:rsidR="00101F74" w:rsidRPr="00E50960" w:rsidRDefault="00E50960">
            <w:pPr>
              <w:widowControl w:val="0"/>
              <w:autoSpaceDE w:val="0"/>
              <w:autoSpaceDN w:val="0"/>
              <w:adjustRightInd w:val="0"/>
              <w:rPr>
                <w:rFonts w:ascii="sans-serif" w:hAnsi="sans-serif" w:cs="sans-serif"/>
                <w:color w:val="000000"/>
              </w:rPr>
            </w:pPr>
            <w:r w:rsidRPr="00E50960">
              <w:rPr>
                <w:rFonts w:ascii="sans-serif" w:hAnsi="sans-serif" w:cs="sans-serif"/>
                <w:color w:val="000000"/>
              </w:rPr>
              <w:fldChar w:fldCharType="begin"/>
            </w:r>
            <w:r w:rsidRPr="00E50960">
              <w:rPr>
                <w:rFonts w:ascii="sans-serif" w:hAnsi="sans-serif" w:cs="sans-serif"/>
                <w:color w:val="000000"/>
              </w:rPr>
              <w:instrText xml:space="preserve">HYPERLINK "#co_footnoteReference_B00022043717331_ID0" </w:instrText>
            </w:r>
            <w:r w:rsidRPr="00E50960">
              <w:rPr>
                <w:rFonts w:ascii="sans-serif" w:hAnsi="sans-serif" w:cs="sans-serif"/>
                <w:color w:val="000000"/>
              </w:rPr>
              <w:fldChar w:fldCharType="separate"/>
            </w:r>
            <w:r w:rsidRPr="00E50960">
              <w:rPr>
                <w:rFonts w:ascii="sans-serif" w:hAnsi="sans-serif" w:cs="sans-serif"/>
                <w:color w:val="0000FF"/>
                <w:vertAlign w:val="superscript"/>
              </w:rPr>
              <w:t>2</w:t>
            </w:r>
            <w:r w:rsidRPr="00E50960">
              <w:rPr>
                <w:rFonts w:ascii="sans-serif" w:hAnsi="sans-serif" w:cs="sans-serif"/>
                <w:color w:val="000000"/>
              </w:rPr>
              <w:fldChar w:fldCharType="end"/>
            </w:r>
          </w:p>
          <w:p w:rsidR="00101F74" w:rsidRPr="00E50960" w:rsidRDefault="00101F74">
            <w:pPr>
              <w:widowControl w:val="0"/>
              <w:autoSpaceDE w:val="0"/>
              <w:autoSpaceDN w:val="0"/>
              <w:adjustRightInd w:val="0"/>
              <w:rPr>
                <w:rFonts w:ascii="sans-serif" w:hAnsi="sans-serif" w:cs="sans-serif"/>
                <w:color w:val="000000"/>
              </w:rPr>
            </w:pPr>
          </w:p>
        </w:tc>
        <w:tc>
          <w:tcPr>
            <w:tcW w:w="9480" w:type="dxa"/>
            <w:tcBorders>
              <w:top w:val="nil"/>
              <w:left w:val="nil"/>
              <w:bottom w:val="nil"/>
              <w:right w:val="nil"/>
            </w:tcBorders>
          </w:tcPr>
          <w:p w:rsidR="00101F74" w:rsidRPr="00E50960" w:rsidRDefault="00E50960">
            <w:pPr>
              <w:widowControl w:val="0"/>
              <w:autoSpaceDE w:val="0"/>
              <w:autoSpaceDN w:val="0"/>
              <w:adjustRightInd w:val="0"/>
              <w:jc w:val="both"/>
              <w:rPr>
                <w:rFonts w:ascii="sans-serif" w:hAnsi="sans-serif" w:cs="sans-serif"/>
                <w:color w:val="000000"/>
                <w:sz w:val="18"/>
                <w:szCs w:val="18"/>
              </w:rPr>
            </w:pPr>
            <w:r w:rsidRPr="00E50960">
              <w:rPr>
                <w:rFonts w:ascii="sans-serif" w:hAnsi="sans-serif" w:cs="sans-serif"/>
                <w:color w:val="000000"/>
                <w:sz w:val="18"/>
                <w:szCs w:val="18"/>
              </w:rPr>
              <w:t>Because the Court finds that the Service applied the wrong standard based on its assessment of the Halbert et al. and White and Wallen studies, it need not address the other arguments raised by Buffalo Field, including that internal agency comments in the record additionally demonstrate that the Service applied the wrong standard.</w:t>
            </w:r>
          </w:p>
          <w:p w:rsidR="00101F74" w:rsidRPr="00E50960" w:rsidRDefault="00101F74">
            <w:pPr>
              <w:widowControl w:val="0"/>
              <w:autoSpaceDE w:val="0"/>
              <w:autoSpaceDN w:val="0"/>
              <w:adjustRightInd w:val="0"/>
              <w:jc w:val="both"/>
              <w:rPr>
                <w:rFonts w:ascii="sans-serif" w:hAnsi="sans-serif" w:cs="sans-serif"/>
                <w:color w:val="000000"/>
                <w:sz w:val="18"/>
                <w:szCs w:val="18"/>
              </w:rPr>
            </w:pPr>
          </w:p>
        </w:tc>
      </w:tr>
    </w:tbl>
    <w:p w:rsidR="00101F74" w:rsidRDefault="00101F74">
      <w:pPr>
        <w:widowControl w:val="0"/>
        <w:autoSpaceDE w:val="0"/>
        <w:autoSpaceDN w:val="0"/>
        <w:adjustRightInd w:val="0"/>
        <w:rPr>
          <w:rFonts w:ascii="Arial" w:hAnsi="Arial" w:cs="Arial"/>
        </w:rPr>
      </w:pPr>
    </w:p>
    <w:p w:rsidR="00101F74" w:rsidRDefault="00101F74">
      <w:pPr>
        <w:widowControl w:val="0"/>
        <w:autoSpaceDE w:val="0"/>
        <w:autoSpaceDN w:val="0"/>
        <w:adjustRightInd w:val="0"/>
        <w:rPr>
          <w:rFonts w:ascii="Times New Roman" w:hAnsi="Times New Roman"/>
        </w:rPr>
      </w:pPr>
    </w:p>
    <w:p w:rsidR="00101F74" w:rsidRDefault="00101F74">
      <w:pPr>
        <w:widowControl w:val="0"/>
        <w:autoSpaceDE w:val="0"/>
        <w:autoSpaceDN w:val="0"/>
        <w:adjustRightInd w:val="0"/>
        <w:rPr>
          <w:rFonts w:ascii="Arial" w:hAnsi="Arial" w:cs="Arial"/>
        </w:rPr>
        <w:sectPr w:rsidR="00101F74">
          <w:type w:val="continuous"/>
          <w:pgSz w:w="12240" w:h="15840"/>
          <w:pgMar w:top="1080" w:right="1080" w:bottom="1080" w:left="1080" w:header="720" w:footer="720" w:gutter="0"/>
          <w:cols w:space="720"/>
          <w:noEndnote/>
        </w:sectPr>
      </w:pPr>
    </w:p>
    <w:p w:rsidR="00101F74" w:rsidRDefault="00101F74">
      <w:pPr>
        <w:widowControl w:val="0"/>
        <w:autoSpaceDE w:val="0"/>
        <w:autoSpaceDN w:val="0"/>
        <w:adjustRightInd w:val="0"/>
        <w:rPr>
          <w:rFonts w:ascii="sans-serif" w:hAnsi="sans-serif" w:cs="sans-serif"/>
          <w:color w:val="000000"/>
        </w:rPr>
      </w:pPr>
    </w:p>
    <w:p w:rsidR="00101F74" w:rsidRDefault="00101F74">
      <w:pPr>
        <w:widowControl w:val="0"/>
        <w:autoSpaceDE w:val="0"/>
        <w:autoSpaceDN w:val="0"/>
        <w:adjustRightInd w:val="0"/>
        <w:rPr>
          <w:rFonts w:ascii="Arial" w:hAnsi="Arial" w:cs="Arial"/>
        </w:rPr>
        <w:sectPr w:rsidR="00101F74">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101F74" w:rsidRPr="00E50960">
        <w:tc>
          <w:tcPr>
            <w:tcW w:w="4320" w:type="dxa"/>
            <w:tcBorders>
              <w:top w:val="single" w:sz="4" w:space="0" w:color="777777"/>
              <w:left w:val="nil"/>
              <w:bottom w:val="nil"/>
              <w:right w:val="nil"/>
            </w:tcBorders>
            <w:tcMar>
              <w:top w:w="100" w:type="dxa"/>
              <w:left w:w="24" w:type="dxa"/>
              <w:right w:w="24" w:type="dxa"/>
            </w:tcMar>
          </w:tcPr>
          <w:p w:rsidR="00101F74" w:rsidRPr="00E50960" w:rsidRDefault="00E50960">
            <w:pPr>
              <w:widowControl w:val="0"/>
              <w:autoSpaceDE w:val="0"/>
              <w:autoSpaceDN w:val="0"/>
              <w:adjustRightInd w:val="0"/>
              <w:ind w:left="24" w:right="24"/>
              <w:rPr>
                <w:rFonts w:ascii="sans-serif" w:hAnsi="sans-serif" w:cs="sans-serif"/>
                <w:b/>
                <w:bCs/>
                <w:color w:val="777777"/>
                <w:sz w:val="16"/>
                <w:szCs w:val="16"/>
              </w:rPr>
            </w:pPr>
            <w:r w:rsidRPr="00E50960">
              <w:rPr>
                <w:rFonts w:ascii="sans-serif" w:hAnsi="sans-serif" w:cs="sans-serif"/>
                <w:b/>
                <w:bCs/>
                <w:color w:val="777777"/>
                <w:sz w:val="16"/>
                <w:szCs w:val="16"/>
              </w:rPr>
              <w:t>End of Document</w:t>
            </w:r>
          </w:p>
          <w:p w:rsidR="00101F74" w:rsidRPr="00E50960" w:rsidRDefault="00101F74">
            <w:pPr>
              <w:widowControl w:val="0"/>
              <w:autoSpaceDE w:val="0"/>
              <w:autoSpaceDN w:val="0"/>
              <w:adjustRightInd w:val="0"/>
              <w:ind w:left="24" w:right="24"/>
              <w:rPr>
                <w:rFonts w:ascii="sans-serif" w:hAnsi="sans-serif" w:cs="sans-serif"/>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rsidR="00101F74" w:rsidRPr="00E50960" w:rsidRDefault="00E50960">
            <w:pPr>
              <w:widowControl w:val="0"/>
              <w:autoSpaceDE w:val="0"/>
              <w:autoSpaceDN w:val="0"/>
              <w:adjustRightInd w:val="0"/>
              <w:ind w:left="24" w:right="24"/>
              <w:jc w:val="right"/>
              <w:rPr>
                <w:rFonts w:ascii="sans-serif" w:hAnsi="sans-serif" w:cs="sans-serif"/>
                <w:color w:val="777777"/>
                <w:sz w:val="16"/>
                <w:szCs w:val="16"/>
              </w:rPr>
            </w:pPr>
            <w:r w:rsidRPr="00E50960">
              <w:rPr>
                <w:rFonts w:ascii="sans-serif" w:hAnsi="sans-serif" w:cs="sans-serif"/>
                <w:color w:val="777777"/>
                <w:sz w:val="16"/>
                <w:szCs w:val="16"/>
              </w:rPr>
              <w:t>© 2018 Thomson Reuters. No claim to original U.S. Government Works.</w:t>
            </w:r>
          </w:p>
          <w:p w:rsidR="00101F74" w:rsidRPr="00E50960" w:rsidRDefault="00101F74">
            <w:pPr>
              <w:widowControl w:val="0"/>
              <w:autoSpaceDE w:val="0"/>
              <w:autoSpaceDN w:val="0"/>
              <w:adjustRightInd w:val="0"/>
              <w:ind w:left="24" w:right="24"/>
              <w:jc w:val="right"/>
              <w:rPr>
                <w:rFonts w:ascii="sans-serif" w:hAnsi="sans-serif" w:cs="sans-serif"/>
                <w:color w:val="777777"/>
                <w:sz w:val="16"/>
                <w:szCs w:val="16"/>
              </w:rPr>
            </w:pPr>
          </w:p>
        </w:tc>
      </w:tr>
    </w:tbl>
    <w:p w:rsidR="00101F74" w:rsidRDefault="00101F74">
      <w:pPr>
        <w:widowControl w:val="0"/>
        <w:autoSpaceDE w:val="0"/>
        <w:autoSpaceDN w:val="0"/>
        <w:adjustRightInd w:val="0"/>
        <w:rPr>
          <w:rFonts w:ascii="Arial" w:hAnsi="Arial" w:cs="Arial"/>
        </w:rPr>
      </w:pPr>
    </w:p>
    <w:p w:rsidR="00101F74" w:rsidRDefault="00101F74">
      <w:pPr>
        <w:widowControl w:val="0"/>
        <w:autoSpaceDE w:val="0"/>
        <w:autoSpaceDN w:val="0"/>
        <w:adjustRightInd w:val="0"/>
        <w:rPr>
          <w:rFonts w:ascii="Times New Roman" w:hAnsi="Times New Roman"/>
        </w:rPr>
      </w:pPr>
    </w:p>
    <w:p w:rsidR="00101F74" w:rsidRDefault="00101F74">
      <w:pPr>
        <w:widowControl w:val="0"/>
        <w:autoSpaceDE w:val="0"/>
        <w:autoSpaceDN w:val="0"/>
        <w:adjustRightInd w:val="0"/>
        <w:rPr>
          <w:rFonts w:ascii="Arial" w:hAnsi="Arial" w:cs="Arial"/>
        </w:rPr>
        <w:sectPr w:rsidR="00101F74">
          <w:type w:val="continuous"/>
          <w:pgSz w:w="12240" w:h="15840"/>
          <w:pgMar w:top="1080" w:right="1080" w:bottom="1080" w:left="1080" w:header="720" w:footer="720" w:gutter="0"/>
          <w:cols w:space="720"/>
          <w:noEndnote/>
        </w:sectPr>
      </w:pPr>
    </w:p>
    <w:p w:rsidR="00E50960" w:rsidRDefault="00E50960">
      <w:pPr>
        <w:widowControl w:val="0"/>
        <w:autoSpaceDE w:val="0"/>
        <w:autoSpaceDN w:val="0"/>
        <w:adjustRightInd w:val="0"/>
        <w:rPr>
          <w:rFonts w:ascii="Arial" w:hAnsi="Arial" w:cs="Arial"/>
        </w:rPr>
      </w:pPr>
    </w:p>
    <w:sectPr w:rsidR="00E50960">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737" w:rsidRDefault="00EE0737">
      <w:r>
        <w:separator/>
      </w:r>
    </w:p>
  </w:endnote>
  <w:endnote w:type="continuationSeparator" w:id="0">
    <w:p w:rsidR="00EE0737" w:rsidRDefault="00EE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00"/>
      <w:gridCol w:w="700"/>
    </w:tblGrid>
    <w:tr w:rsidR="00101F74" w:rsidRPr="00E50960">
      <w:tc>
        <w:tcPr>
          <w:tcW w:w="9300" w:type="dxa"/>
          <w:tcBorders>
            <w:top w:val="single" w:sz="8" w:space="0" w:color="AAAAAA"/>
            <w:left w:val="nil"/>
            <w:bottom w:val="nil"/>
            <w:right w:val="nil"/>
          </w:tcBorders>
          <w:tcMar>
            <w:top w:w="60" w:type="dxa"/>
          </w:tcMar>
          <w:vAlign w:val="bottom"/>
        </w:tcPr>
        <w:p w:rsidR="00101F74" w:rsidRPr="00E50960" w:rsidRDefault="00EE0737">
          <w:pPr>
            <w:widowControl w:val="0"/>
            <w:autoSpaceDE w:val="0"/>
            <w:autoSpaceDN w:val="0"/>
            <w:adjustRightInd w:val="0"/>
            <w:rPr>
              <w:rFonts w:ascii="Arial" w:hAnsi="Arial" w:cs="Arial"/>
              <w:color w:val="AAAAAA"/>
              <w:sz w:val="20"/>
              <w:szCs w:val="20"/>
            </w:rPr>
          </w:pPr>
          <w:r>
            <w:rPr>
              <w:rFonts w:ascii="Arial" w:hAnsi="Arial" w:cs="Arial"/>
              <w:noProof/>
              <w:color w:val="AAAAA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4pt;height:7.45pt;mso-width-percent:0;mso-height-percent:0;mso-width-percent:0;mso-height-percent:0">
                <v:imagedata r:id="rId1" o:title=""/>
              </v:shape>
            </w:pict>
          </w:r>
          <w:r w:rsidR="00E50960" w:rsidRPr="00E50960">
            <w:rPr>
              <w:rFonts w:ascii="Arial" w:hAnsi="Arial" w:cs="Arial"/>
              <w:color w:val="AAAAAA"/>
              <w:sz w:val="20"/>
              <w:szCs w:val="20"/>
            </w:rPr>
            <w:t xml:space="preserve"> © 2018 Thomson Reuters. No claim to original U.S. Government Works.</w:t>
          </w:r>
        </w:p>
      </w:tc>
      <w:tc>
        <w:tcPr>
          <w:tcW w:w="700" w:type="dxa"/>
          <w:tcBorders>
            <w:top w:val="single" w:sz="8" w:space="0" w:color="AAAAAA"/>
            <w:left w:val="nil"/>
            <w:bottom w:val="nil"/>
            <w:right w:val="nil"/>
          </w:tcBorders>
          <w:tcMar>
            <w:top w:w="60" w:type="dxa"/>
          </w:tcMar>
        </w:tcPr>
        <w:p w:rsidR="00101F74" w:rsidRPr="00E50960" w:rsidRDefault="00E50960">
          <w:pPr>
            <w:widowControl w:val="0"/>
            <w:autoSpaceDE w:val="0"/>
            <w:autoSpaceDN w:val="0"/>
            <w:adjustRightInd w:val="0"/>
            <w:jc w:val="right"/>
            <w:rPr>
              <w:rFonts w:ascii="Arial" w:hAnsi="Arial" w:cs="Arial"/>
              <w:color w:val="AAAAAA"/>
              <w:sz w:val="20"/>
              <w:szCs w:val="20"/>
            </w:rPr>
          </w:pPr>
          <w:r w:rsidRPr="00E50960">
            <w:rPr>
              <w:rFonts w:ascii="Arial" w:hAnsi="Arial" w:cs="Arial"/>
              <w:color w:val="AAAAAA"/>
              <w:sz w:val="20"/>
              <w:szCs w:val="20"/>
            </w:rPr>
            <w:pgNum/>
          </w:r>
        </w:p>
      </w:tc>
    </w:tr>
  </w:tbl>
  <w:p w:rsidR="00101F74" w:rsidRDefault="00101F74">
    <w:pPr>
      <w:widowControl w:val="0"/>
      <w:autoSpaceDE w:val="0"/>
      <w:autoSpaceDN w:val="0"/>
      <w:adjustRightInd w:val="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737" w:rsidRDefault="00EE0737">
      <w:r>
        <w:separator/>
      </w:r>
    </w:p>
  </w:footnote>
  <w:footnote w:type="continuationSeparator" w:id="0">
    <w:p w:rsidR="00EE0737" w:rsidRDefault="00EE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80"/>
      <w:gridCol w:w="700"/>
    </w:tblGrid>
    <w:tr w:rsidR="00101F74" w:rsidRPr="00E50960">
      <w:tc>
        <w:tcPr>
          <w:tcW w:w="9380" w:type="dxa"/>
          <w:tcBorders>
            <w:top w:val="nil"/>
            <w:left w:val="nil"/>
            <w:bottom w:val="single" w:sz="8" w:space="0" w:color="AAAAAA"/>
            <w:right w:val="nil"/>
          </w:tcBorders>
          <w:tcMar>
            <w:top w:w="400" w:type="dxa"/>
            <w:bottom w:w="60" w:type="dxa"/>
          </w:tcMar>
          <w:vAlign w:val="bottom"/>
        </w:tcPr>
        <w:p w:rsidR="00101F74" w:rsidRPr="00E50960" w:rsidRDefault="00E50960">
          <w:pPr>
            <w:widowControl w:val="0"/>
            <w:autoSpaceDE w:val="0"/>
            <w:autoSpaceDN w:val="0"/>
            <w:adjustRightInd w:val="0"/>
            <w:rPr>
              <w:rFonts w:ascii="Arial" w:hAnsi="Arial" w:cs="Arial"/>
              <w:color w:val="000000"/>
              <w:sz w:val="18"/>
              <w:szCs w:val="18"/>
            </w:rPr>
          </w:pPr>
          <w:r w:rsidRPr="00E50960">
            <w:rPr>
              <w:rFonts w:ascii="Arial" w:hAnsi="Arial" w:cs="Arial"/>
              <w:b/>
              <w:bCs/>
              <w:color w:val="555555"/>
              <w:sz w:val="18"/>
              <w:szCs w:val="18"/>
            </w:rPr>
            <w:t>Buffalo Field Campaign v. Zinke, 289 F.Supp.3d 103 (2018)</w:t>
          </w:r>
        </w:p>
      </w:tc>
      <w:tc>
        <w:tcPr>
          <w:tcW w:w="700" w:type="dxa"/>
          <w:tcBorders>
            <w:top w:val="nil"/>
            <w:left w:val="nil"/>
            <w:bottom w:val="single" w:sz="8" w:space="0" w:color="AAAAAA"/>
            <w:right w:val="nil"/>
          </w:tcBorders>
          <w:tcMar>
            <w:top w:w="400" w:type="dxa"/>
            <w:bottom w:w="60" w:type="dxa"/>
          </w:tcMar>
        </w:tcPr>
        <w:p w:rsidR="00101F74" w:rsidRPr="00E50960" w:rsidRDefault="00101F74">
          <w:pPr>
            <w:widowControl w:val="0"/>
            <w:autoSpaceDE w:val="0"/>
            <w:autoSpaceDN w:val="0"/>
            <w:adjustRightInd w:val="0"/>
            <w:jc w:val="right"/>
            <w:rPr>
              <w:rFonts w:ascii="Arial" w:hAnsi="Arial" w:cs="Arial"/>
              <w:color w:val="000000"/>
              <w:sz w:val="18"/>
              <w:szCs w:val="18"/>
            </w:rPr>
          </w:pPr>
        </w:p>
      </w:tc>
    </w:tr>
    <w:tr w:rsidR="00101F74" w:rsidRPr="00E50960">
      <w:tc>
        <w:tcPr>
          <w:tcW w:w="10080" w:type="dxa"/>
          <w:gridSpan w:val="2"/>
          <w:tcBorders>
            <w:top w:val="nil"/>
            <w:left w:val="nil"/>
            <w:bottom w:val="nil"/>
            <w:right w:val="nil"/>
          </w:tcBorders>
        </w:tcPr>
        <w:p w:rsidR="00101F74" w:rsidRPr="00E50960" w:rsidRDefault="00101F74">
          <w:pPr>
            <w:widowControl w:val="0"/>
            <w:autoSpaceDE w:val="0"/>
            <w:autoSpaceDN w:val="0"/>
            <w:adjustRightInd w:val="0"/>
            <w:rPr>
              <w:rFonts w:ascii="Arial" w:hAnsi="Arial" w:cs="Arial"/>
              <w:color w:val="000000"/>
              <w:sz w:val="18"/>
              <w:szCs w:val="18"/>
            </w:rPr>
          </w:pPr>
        </w:p>
      </w:tc>
    </w:tr>
  </w:tbl>
  <w:p w:rsidR="00101F74" w:rsidRDefault="00101F74">
    <w:pPr>
      <w:widowControl w:val="0"/>
      <w:autoSpaceDE w:val="0"/>
      <w:autoSpaceDN w:val="0"/>
      <w:adjustRightInd w:val="0"/>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8yfwsWbg2GQxLK+btlaWcKSG/NZnb/nlmYfUJ2b3zgHUklXjq81x8VzFKRL/9IwGCU/hp/ykiYoZIjKgGN1uBg==" w:salt="qLWK5R7UkF5W+N/pm5kI3A=="/>
  <w:zoom w:percent="147"/>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52A"/>
    <w:rsid w:val="00101F74"/>
    <w:rsid w:val="00772405"/>
    <w:rsid w:val="007C552A"/>
    <w:rsid w:val="00E50960"/>
    <w:rsid w:val="00EE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Link/Document/FullText?findType=L&amp;pubNum=1000547&amp;cite=50CFRS424.14&amp;originatingDoc=I85dd74d0073e11e890b3a4cf54beb9bd&amp;refType=LQ&amp;originationContext=document&amp;vr=3.0&amp;rs=cblt1.0&amp;transitionType=DocumentItem&amp;contextData=(sc.Search)" TargetMode="External"/><Relationship Id="rId18" Type="http://schemas.openxmlformats.org/officeDocument/2006/relationships/hyperlink" Target="http://www.westlaw.com/Link/Document/FullText?findType=Y&amp;serNum=2021352987&amp;pubNum=0000999&amp;originatingDoc=I85dd74d0073e11e890b3a4cf54beb9bd&amp;refType=RP&amp;originationContext=document&amp;vr=3.0&amp;rs=cblt1.0&amp;transitionType=DocumentItem&amp;contextData=(sc.Search)" TargetMode="External"/><Relationship Id="rId26" Type="http://schemas.openxmlformats.org/officeDocument/2006/relationships/hyperlink" Target="http://www.westlaw.com/Link/Document/FullText?findType=L&amp;pubNum=1000546&amp;cite=5USCAS706&amp;originatingDoc=I85dd74d0073e11e890b3a4cf54beb9bd&amp;refType=SP&amp;originationContext=document&amp;vr=3.0&amp;rs=cblt1.0&amp;transitionType=DocumentItem&amp;contextData=(sc.Search)" TargetMode="External"/><Relationship Id="rId39" Type="http://schemas.openxmlformats.org/officeDocument/2006/relationships/hyperlink" Target="http://www.westlaw.com/Link/Document/FullText?findType=Y&amp;serNum=2005908763&amp;pubNum=0004637&amp;originatingDoc=I85dd74d0073e11e890b3a4cf54beb9bd&amp;refType=RP&amp;fi=co_pp_sp_4637_1142&amp;originationContext=document&amp;vr=3.0&amp;rs=cblt1.0&amp;transitionType=DocumentItem&amp;contextData=(sc.Search)" TargetMode="External"/><Relationship Id="rId21" Type="http://schemas.openxmlformats.org/officeDocument/2006/relationships/hyperlink" Target="http://www.westlaw.com/Link/Document/FullText?entityType=disease&amp;entityId=Iac92857b475411db9765f9243f53508a&amp;originationContext=document&amp;transitionType=DocumentItem&amp;contextData=(sc.Default)&amp;vr=3.0&amp;rs=cblt1.0" TargetMode="External"/><Relationship Id="rId34" Type="http://schemas.openxmlformats.org/officeDocument/2006/relationships/hyperlink" Target="http://www.westlaw.com/Link/Document/FullText?findType=Y&amp;serNum=2015472211&amp;pubNum=0000999&amp;originatingDoc=I85dd74d0073e11e890b3a4cf54beb9bd&amp;refType=RP&amp;originationContext=document&amp;vr=3.0&amp;rs=cblt1.0&amp;transitionType=DocumentItem&amp;contextData=(sc.Search)" TargetMode="External"/><Relationship Id="rId42" Type="http://schemas.openxmlformats.org/officeDocument/2006/relationships/hyperlink" Target="http://www.westlaw.com/Link/Document/FullText?findType=Y&amp;serNum=1999217766&amp;pubNum=0000506&amp;originatingDoc=I85dd74d0073e11e890b3a4cf54beb9bd&amp;refType=RP&amp;fi=co_pp_sp_506_1011&amp;originationContext=document&amp;vr=3.0&amp;rs=cblt1.0&amp;transitionType=DocumentItem&amp;contextData=(sc.Search)" TargetMode="External"/><Relationship Id="rId47" Type="http://schemas.openxmlformats.org/officeDocument/2006/relationships/hyperlink" Target="http://www.westlaw.com/Link/Document/FullText?findType=Y&amp;serNum=2010237433&amp;pubNum=0004637&amp;originatingDoc=I85dd74d0073e11e890b3a4cf54beb9bd&amp;refType=RP&amp;fi=co_pp_sp_4637_176&amp;originationContext=document&amp;vr=3.0&amp;rs=cblt1.0&amp;transitionType=DocumentItem&amp;contextData=(sc.Search)"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westlaw.com/Link/Document/FullText?findType=Y&amp;serNum=2005908763&amp;pubNum=0004637&amp;originatingDoc=I85dd74d0073e11e890b3a4cf54beb9bd&amp;refType=RP&amp;fi=co_pp_sp_4637_1140&amp;originationContext=document&amp;vr=3.0&amp;rs=cblt1.0&amp;transitionType=DocumentItem&amp;contextData=(sc.Search)" TargetMode="External"/><Relationship Id="rId29" Type="http://schemas.openxmlformats.org/officeDocument/2006/relationships/hyperlink" Target="http://www.westlaw.com/Link/Document/FullText?findType=Y&amp;serNum=1983129661&amp;pubNum=0000708&amp;originatingDoc=I85dd74d0073e11e890b3a4cf54beb9bd&amp;refType=RP&amp;originationContext=document&amp;vr=3.0&amp;rs=cblt1.0&amp;transitionType=DocumentItem&amp;contextData=(sc.Search)" TargetMode="External"/><Relationship Id="rId11" Type="http://schemas.openxmlformats.org/officeDocument/2006/relationships/hyperlink" Target="http://www.westlaw.com/Link/Document/FullText?findType=L&amp;pubNum=1000546&amp;cite=16USCAS1532&amp;originatingDoc=I85dd74d0073e11e890b3a4cf54beb9bd&amp;refType=SP&amp;originationContext=document&amp;vr=3.0&amp;rs=cblt1.0&amp;transitionType=DocumentItem&amp;contextData=(sc.Search)" TargetMode="External"/><Relationship Id="rId24" Type="http://schemas.openxmlformats.org/officeDocument/2006/relationships/hyperlink" Target="http://www.westlaw.com/Link/Document/FullText?entityType=disease&amp;entityId=Iac92857b475411db9765f9243f53508a&amp;originationContext=document&amp;transitionType=DocumentItem&amp;contextData=(sc.Default)&amp;vr=3.0&amp;rs=cblt1.0" TargetMode="External"/><Relationship Id="rId32" Type="http://schemas.openxmlformats.org/officeDocument/2006/relationships/hyperlink" Target="http://www.westlaw.com/Link/Document/FullText?findType=Y&amp;serNum=2011260344&amp;pubNum=0000999&amp;originatingDoc=I85dd74d0073e11e890b3a4cf54beb9bd&amp;refType=RP&amp;originationContext=document&amp;vr=3.0&amp;rs=cblt1.0&amp;transitionType=DocumentItem&amp;contextData=(sc.Search)" TargetMode="External"/><Relationship Id="rId37" Type="http://schemas.openxmlformats.org/officeDocument/2006/relationships/hyperlink" Target="http://www.westlaw.com/Link/Document/FullText?findType=Y&amp;serNum=2021352987&amp;pubNum=0000999&amp;originatingDoc=I85dd74d0073e11e890b3a4cf54beb9bd&amp;refType=RP&amp;originationContext=document&amp;vr=3.0&amp;rs=cblt1.0&amp;transitionType=DocumentItem&amp;contextData=(sc.Search)" TargetMode="External"/><Relationship Id="rId40" Type="http://schemas.openxmlformats.org/officeDocument/2006/relationships/hyperlink" Target="http://www.westlaw.com/Link/Document/FullText?findType=Y&amp;serNum=2034959556&amp;pubNum=0007903&amp;originatingDoc=I85dd74d0073e11e890b3a4cf54beb9bd&amp;refType=RP&amp;fi=co_pp_sp_7903_14&amp;originationContext=document&amp;vr=3.0&amp;rs=cblt1.0&amp;transitionType=DocumentItem&amp;contextData=(sc.Search)" TargetMode="External"/><Relationship Id="rId45" Type="http://schemas.openxmlformats.org/officeDocument/2006/relationships/hyperlink" Target="http://www.westlaw.com/Link/Document/FullText?findType=Y&amp;serNum=1999217766&amp;pubNum=0000506&amp;originatingDoc=I85dd74d0073e11e890b3a4cf54beb9bd&amp;refType=RP&amp;fi=co_pp_sp_506_1011&amp;originationContext=document&amp;vr=3.0&amp;rs=cblt1.0&amp;transitionType=DocumentItem&amp;contextData=(sc.Search)" TargetMode="External"/><Relationship Id="rId5" Type="http://schemas.openxmlformats.org/officeDocument/2006/relationships/endnotes" Target="endnotes.xml"/><Relationship Id="rId15" Type="http://schemas.openxmlformats.org/officeDocument/2006/relationships/hyperlink" Target="http://www.westlaw.com/Link/Document/FullText?findType=Y&amp;serNum=2034959556&amp;pubNum=0007903&amp;originatingDoc=I85dd74d0073e11e890b3a4cf54beb9bd&amp;refType=RP&amp;fi=co_pp_sp_7903_14&amp;originationContext=document&amp;vr=3.0&amp;rs=cblt1.0&amp;transitionType=DocumentItem&amp;contextData=(sc.Search)" TargetMode="External"/><Relationship Id="rId23" Type="http://schemas.openxmlformats.org/officeDocument/2006/relationships/hyperlink" Target="http://www.westlaw.com/Link/Document/FullText?entityType=disease&amp;entityId=Iac92857b475411db9765f9243f53508a&amp;originationContext=document&amp;transitionType=DocumentItem&amp;contextData=(sc.Default)&amp;vr=3.0&amp;rs=cblt1.0" TargetMode="External"/><Relationship Id="rId28" Type="http://schemas.openxmlformats.org/officeDocument/2006/relationships/hyperlink" Target="http://www.westlaw.com/Link/Document/FullText?findType=Y&amp;serNum=2036555707&amp;pubNum=0000506&amp;originatingDoc=I85dd74d0073e11e890b3a4cf54beb9bd&amp;refType=RP&amp;fi=co_pp_sp_506_114&amp;originationContext=document&amp;vr=3.0&amp;rs=cblt1.0&amp;transitionType=DocumentItem&amp;contextData=(sc.Search)" TargetMode="External"/><Relationship Id="rId36" Type="http://schemas.openxmlformats.org/officeDocument/2006/relationships/hyperlink" Target="http://www.westlaw.com/Link/Document/FullText?findType=Y&amp;serNum=2005908763&amp;pubNum=0004637&amp;originatingDoc=I85dd74d0073e11e890b3a4cf54beb9bd&amp;refType=RP&amp;fi=co_pp_sp_4637_1142&amp;originationContext=document&amp;vr=3.0&amp;rs=cblt1.0&amp;transitionType=DocumentItem&amp;contextData=(sc.Search)" TargetMode="External"/><Relationship Id="rId49" Type="http://schemas.openxmlformats.org/officeDocument/2006/relationships/hyperlink" Target="http://www.westlaw.com/Link/Document/FullText?findType=L&amp;pubNum=1000547&amp;cite=50CFRS424.14&amp;originatingDoc=I85dd74d0073e11e890b3a4cf54beb9bd&amp;refType=LQ&amp;originationContext=document&amp;vr=3.0&amp;rs=cblt1.0&amp;transitionType=DocumentItem&amp;contextData=(sc.Search)" TargetMode="External"/><Relationship Id="rId10" Type="http://schemas.openxmlformats.org/officeDocument/2006/relationships/hyperlink" Target="http://www.westlaw.com/Link/Document/FullText?findType=h&amp;pubNum=176284&amp;cite=0483919901&amp;originatingDoc=I85dd74d0073e11e890b3a4cf54beb9bd&amp;refType=RQ&amp;originationContext=document&amp;vr=3.0&amp;rs=cblt1.0&amp;transitionType=DocumentItem&amp;contextData=(sc.Search)" TargetMode="External"/><Relationship Id="rId19" Type="http://schemas.openxmlformats.org/officeDocument/2006/relationships/hyperlink" Target="http://www.westlaw.com/Link/Document/FullText?findType=Y&amp;serNum=2010237433&amp;pubNum=0004637&amp;originatingDoc=I85dd74d0073e11e890b3a4cf54beb9bd&amp;refType=RP&amp;fi=co_pp_sp_4637_176&amp;originationContext=document&amp;vr=3.0&amp;rs=cblt1.0&amp;transitionType=DocumentItem&amp;contextData=(sc.Search)" TargetMode="External"/><Relationship Id="rId31" Type="http://schemas.openxmlformats.org/officeDocument/2006/relationships/hyperlink" Target="http://www.westlaw.com/Link/Document/FullText?findType=Y&amp;serNum=2011260344&amp;pubNum=0000999&amp;originatingDoc=I85dd74d0073e11e890b3a4cf54beb9bd&amp;refType=RP&amp;originationContext=document&amp;vr=3.0&amp;rs=cblt1.0&amp;transitionType=DocumentItem&amp;contextData=(sc.Search)" TargetMode="External"/><Relationship Id="rId44" Type="http://schemas.openxmlformats.org/officeDocument/2006/relationships/hyperlink" Target="http://www.westlaw.com/Link/Document/FullText?findType=Y&amp;serNum=2007506843&amp;pubNum=0000506&amp;originatingDoc=I85dd74d0073e11e890b3a4cf54beb9bd&amp;refType=RP&amp;fi=co_pp_sp_506_403&amp;originationContext=document&amp;vr=3.0&amp;rs=cblt1.0&amp;transitionType=DocumentItem&amp;contextData=(sc.Search)" TargetMode="External"/><Relationship Id="rId4" Type="http://schemas.openxmlformats.org/officeDocument/2006/relationships/footnotes" Target="footnotes.xml"/><Relationship Id="rId9" Type="http://schemas.openxmlformats.org/officeDocument/2006/relationships/hyperlink" Target="http://www.westlaw.com/Link/Document/FullText?findType=h&amp;pubNum=176284&amp;cite=0483919901&amp;originatingDoc=I85dd74d0073e11e890b3a4cf54beb9bd&amp;refType=RQ&amp;originationContext=document&amp;vr=3.0&amp;rs=cblt1.0&amp;transitionType=DocumentItem&amp;contextData=(sc.Search)" TargetMode="External"/><Relationship Id="rId14" Type="http://schemas.openxmlformats.org/officeDocument/2006/relationships/hyperlink" Target="http://www.westlaw.com/Link/Document/FullText?findType=L&amp;pubNum=1000546&amp;cite=16USCAS1533&amp;originatingDoc=I85dd74d0073e11e890b3a4cf54beb9bd&amp;refType=SP&amp;originationContext=document&amp;vr=3.0&amp;rs=cblt1.0&amp;transitionType=DocumentItem&amp;contextData=(sc.Search)" TargetMode="External"/><Relationship Id="rId22" Type="http://schemas.openxmlformats.org/officeDocument/2006/relationships/hyperlink" Target="http://www.westlaw.com/Link/Document/FullText?entityType=disease&amp;entityId=Iac92857b475411db9765f9243f53508a&amp;originationContext=document&amp;transitionType=DocumentItem&amp;contextData=(sc.Default)&amp;vr=3.0&amp;rs=cblt1.0" TargetMode="External"/><Relationship Id="rId27" Type="http://schemas.openxmlformats.org/officeDocument/2006/relationships/hyperlink" Target="http://www.westlaw.com/Link/Document/FullText?findType=Y&amp;serNum=1983129661&amp;pubNum=0000708&amp;originatingDoc=I85dd74d0073e11e890b3a4cf54beb9bd&amp;refType=RP&amp;originationContext=document&amp;vr=3.0&amp;rs=cblt1.0&amp;transitionType=DocumentItem&amp;contextData=(sc.Search)" TargetMode="External"/><Relationship Id="rId30" Type="http://schemas.openxmlformats.org/officeDocument/2006/relationships/hyperlink" Target="http://www.westlaw.com/Link/Document/FullText?findType=Y&amp;serNum=2023624823&amp;pubNum=0004637&amp;originatingDoc=I85dd74d0073e11e890b3a4cf54beb9bd&amp;refType=RP&amp;fi=co_pp_sp_4637_78&amp;originationContext=document&amp;vr=3.0&amp;rs=cblt1.0&amp;transitionType=DocumentItem&amp;contextData=(sc.Search)" TargetMode="External"/><Relationship Id="rId35" Type="http://schemas.openxmlformats.org/officeDocument/2006/relationships/hyperlink" Target="http://www.westlaw.com/Link/Document/FullText?findType=Y&amp;serNum=2034959556&amp;pubNum=0007903&amp;originatingDoc=I85dd74d0073e11e890b3a4cf54beb9bd&amp;refType=RP&amp;fi=co_pp_sp_7903_14&amp;originationContext=document&amp;vr=3.0&amp;rs=cblt1.0&amp;transitionType=DocumentItem&amp;contextData=(sc.Search)" TargetMode="External"/><Relationship Id="rId43" Type="http://schemas.openxmlformats.org/officeDocument/2006/relationships/hyperlink" Target="http://www.westlaw.com/Link/Document/FullText?findType=Y&amp;serNum=2017660318&amp;pubNum=0000506&amp;originatingDoc=I85dd74d0073e11e890b3a4cf54beb9bd&amp;refType=RP&amp;fi=co_pp_sp_506_20&amp;originationContext=document&amp;vr=3.0&amp;rs=cblt1.0&amp;transitionType=DocumentItem&amp;contextData=(sc.Search)" TargetMode="External"/><Relationship Id="rId48" Type="http://schemas.openxmlformats.org/officeDocument/2006/relationships/hyperlink" Target="http://www.westlaw.com/Link/Document/FullText?findType=Y&amp;serNum=2005908763&amp;pubNum=0004637&amp;originatingDoc=I85dd74d0073e11e890b3a4cf54beb9bd&amp;refType=RP&amp;fi=co_pp_sp_4637_1143&amp;originationContext=document&amp;vr=3.0&amp;rs=cblt1.0&amp;transitionType=DocumentItem&amp;contextData=(sc.Search)" TargetMode="External"/><Relationship Id="rId8" Type="http://schemas.openxmlformats.org/officeDocument/2006/relationships/hyperlink" Target="http://www.westlaw.com/Search/Results.html?query=advanced%3a+OAID(5051918523)&amp;saveJuris=False&amp;contentType=BUSINESS-INVESTIGATOR&amp;startIndex=1&amp;contextData=(sc.Default)&amp;categoryPageUrl=Home%2fCompanyInvestigator&amp;originationContext=document&amp;vr=3.0&amp;rs=cblt1.0&amp;transitionType=DocumentItem"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westlaw.com/Link/Document/FullText?findType=L&amp;pubNum=1000546&amp;cite=16USCAS1532&amp;originatingDoc=I85dd74d0073e11e890b3a4cf54beb9bd&amp;refType=SP&amp;originationContext=document&amp;vr=3.0&amp;rs=cblt1.0&amp;transitionType=DocumentItem&amp;contextData=(sc.Search)" TargetMode="External"/><Relationship Id="rId17" Type="http://schemas.openxmlformats.org/officeDocument/2006/relationships/hyperlink" Target="http://www.westlaw.com/Link/Document/FullText?findType=Y&amp;serNum=2003620313&amp;pubNum=0004637&amp;originatingDoc=I85dd74d0073e11e890b3a4cf54beb9bd&amp;refType=RP&amp;fi=co_pp_sp_4637_1203&amp;originationContext=document&amp;vr=3.0&amp;rs=cblt1.0&amp;transitionType=DocumentItem&amp;contextData=(sc.Search)" TargetMode="External"/><Relationship Id="rId25" Type="http://schemas.openxmlformats.org/officeDocument/2006/relationships/hyperlink" Target="http://www.westlaw.com/Link/Document/FullText?findType=Y&amp;serNum=2017439985&amp;pubNum=0004637&amp;originatingDoc=I85dd74d0073e11e890b3a4cf54beb9bd&amp;refType=RP&amp;fi=co_pp_sp_4637_41&amp;originationContext=document&amp;vr=3.0&amp;rs=cblt1.0&amp;transitionType=DocumentItem&amp;contextData=(sc.Search)" TargetMode="External"/><Relationship Id="rId33" Type="http://schemas.openxmlformats.org/officeDocument/2006/relationships/hyperlink" Target="http://www.westlaw.com/Link/Document/FullText?findType=Y&amp;serNum=2021352987&amp;pubNum=0000999&amp;originatingDoc=I85dd74d0073e11e890b3a4cf54beb9bd&amp;refType=RP&amp;originationContext=document&amp;vr=3.0&amp;rs=cblt1.0&amp;transitionType=DocumentItem&amp;contextData=(sc.Search)" TargetMode="External"/><Relationship Id="rId38" Type="http://schemas.openxmlformats.org/officeDocument/2006/relationships/hyperlink" Target="http://www.westlaw.com/Link/Document/FullText?findType=Y&amp;serNum=2011260344&amp;pubNum=0000999&amp;originatingDoc=I85dd74d0073e11e890b3a4cf54beb9bd&amp;refType=RP&amp;originationContext=document&amp;vr=3.0&amp;rs=cblt1.0&amp;transitionType=DocumentItem&amp;contextData=(sc.Search)" TargetMode="External"/><Relationship Id="rId46" Type="http://schemas.openxmlformats.org/officeDocument/2006/relationships/hyperlink" Target="http://www.westlaw.com/Link/Document/FullText?findType=Y&amp;serNum=2042143236&amp;pubNum=0000999&amp;originatingDoc=I85dd74d0073e11e890b3a4cf54beb9bd&amp;refType=RP&amp;originationContext=document&amp;vr=3.0&amp;rs=cblt1.0&amp;transitionType=DocumentItem&amp;contextData=(sc.Search)" TargetMode="External"/><Relationship Id="rId20" Type="http://schemas.openxmlformats.org/officeDocument/2006/relationships/hyperlink" Target="http://www.westlaw.com/Link/Document/FullText?entityType=disease&amp;entityId=Iac92857b475411db9765f9243f53508a&amp;originationContext=document&amp;transitionType=DocumentItem&amp;contextData=(sc.Default)&amp;vr=3.0&amp;rs=cblt1.0" TargetMode="External"/><Relationship Id="rId41" Type="http://schemas.openxmlformats.org/officeDocument/2006/relationships/hyperlink" Target="http://www.westlaw.com/Link/Document/FullText?findType=Y&amp;serNum=2007506843&amp;pubNum=0000506&amp;originatingDoc=I85dd74d0073e11e890b3a4cf54beb9bd&amp;refType=RP&amp;fi=co_pp_sp_506_403&amp;originationContext=document&amp;vr=3.0&amp;rs=cblt1.0&amp;transitionType=DocumentItem&amp;contextData=(sc.Search)" TargetMode="External"/><Relationship Id="rId1" Type="http://schemas.openxmlformats.org/officeDocument/2006/relationships/styles" Target="styles.xml"/><Relationship Id="rId6"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6350</Words>
  <Characters>33851</Characters>
  <Application>Microsoft Office Word</Application>
  <DocSecurity>4</DocSecurity>
  <Lines>867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2018-12-06T21:20:00Z</dcterms:created>
  <dcterms:modified xsi:type="dcterms:W3CDTF">2019-01-02T18:54:00Z</dcterms:modified>
</cp:coreProperties>
</file>